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A1BABC" w14:textId="7018A617" w:rsidR="00C60B67" w:rsidRPr="00A21195" w:rsidRDefault="00C60B67" w:rsidP="00C60B67">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100</w:t>
      </w:r>
      <w:r w:rsidRPr="00AB081E">
        <w:rPr>
          <w:rFonts w:cs="Arial"/>
          <w:sz w:val="24"/>
          <w:szCs w:val="24"/>
        </w:rPr>
        <w:t>-e</w:t>
      </w:r>
      <w:r w:rsidRPr="002D6524">
        <w:rPr>
          <w:rFonts w:cs="Arial"/>
          <w:noProof w:val="0"/>
          <w:sz w:val="24"/>
        </w:rPr>
        <w:tab/>
      </w:r>
      <w:r w:rsidRPr="002D6524">
        <w:rPr>
          <w:rFonts w:cs="Arial"/>
          <w:noProof w:val="0"/>
          <w:sz w:val="24"/>
        </w:rPr>
        <w:tab/>
      </w:r>
      <w:r w:rsidR="00E35DEC" w:rsidRPr="00E35DEC">
        <w:rPr>
          <w:rFonts w:cs="Arial"/>
          <w:noProof w:val="0"/>
          <w:sz w:val="24"/>
        </w:rPr>
        <w:t>R4-2114185</w:t>
      </w:r>
    </w:p>
    <w:p w14:paraId="50859896" w14:textId="77777777" w:rsidR="00C60B67" w:rsidRPr="00AB081E" w:rsidRDefault="00C60B67" w:rsidP="00C60B67">
      <w:pPr>
        <w:pStyle w:val="Header"/>
        <w:tabs>
          <w:tab w:val="right" w:pos="8280"/>
          <w:tab w:val="right" w:pos="9639"/>
        </w:tabs>
        <w:jc w:val="both"/>
        <w:rPr>
          <w:rFonts w:cs="Arial"/>
          <w:sz w:val="24"/>
          <w:szCs w:val="24"/>
        </w:rPr>
      </w:pPr>
      <w:r w:rsidRPr="00AB081E">
        <w:rPr>
          <w:rFonts w:cs="Arial"/>
          <w:sz w:val="24"/>
          <w:szCs w:val="24"/>
        </w:rPr>
        <w:t>E-meeting, 1</w:t>
      </w:r>
      <w:r>
        <w:rPr>
          <w:rFonts w:cs="Arial"/>
          <w:sz w:val="24"/>
          <w:szCs w:val="24"/>
        </w:rPr>
        <w:t>6</w:t>
      </w:r>
      <w:r w:rsidRPr="00AB081E">
        <w:rPr>
          <w:rFonts w:cs="Arial"/>
          <w:sz w:val="24"/>
          <w:szCs w:val="24"/>
        </w:rPr>
        <w:t xml:space="preserve"> </w:t>
      </w:r>
      <w:r>
        <w:rPr>
          <w:rFonts w:cs="Arial"/>
          <w:sz w:val="24"/>
          <w:szCs w:val="24"/>
        </w:rPr>
        <w:t>Aug</w:t>
      </w:r>
      <w:r w:rsidRPr="00AB081E">
        <w:rPr>
          <w:rFonts w:cs="Arial"/>
          <w:sz w:val="24"/>
          <w:szCs w:val="24"/>
        </w:rPr>
        <w:t xml:space="preserve"> – 27 </w:t>
      </w:r>
      <w:r>
        <w:rPr>
          <w:rFonts w:cs="Arial"/>
          <w:sz w:val="24"/>
          <w:szCs w:val="24"/>
        </w:rPr>
        <w:t>Aug</w:t>
      </w:r>
      <w:r w:rsidRPr="00AB081E">
        <w:rPr>
          <w:rFonts w:cs="Arial"/>
          <w:sz w:val="24"/>
          <w:szCs w:val="24"/>
        </w:rPr>
        <w:t>, 2021</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3FC77B6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C65EF3" w:rsidRPr="00AB081E">
        <w:rPr>
          <w:rFonts w:ascii="Arial" w:hAnsi="Arial" w:cs="Arial"/>
          <w:b/>
          <w:sz w:val="24"/>
        </w:rPr>
        <w:t>9.</w:t>
      </w:r>
      <w:r w:rsidR="00C60B67">
        <w:rPr>
          <w:rFonts w:ascii="Arial" w:hAnsi="Arial" w:cs="Arial"/>
          <w:b/>
          <w:sz w:val="24"/>
        </w:rPr>
        <w:t>9</w:t>
      </w:r>
      <w:r w:rsidR="00C65EF3" w:rsidRPr="00AB081E">
        <w:rPr>
          <w:rFonts w:ascii="Arial" w:hAnsi="Arial" w:cs="Arial"/>
          <w:b/>
          <w:sz w:val="24"/>
        </w:rPr>
        <w:t>.</w:t>
      </w:r>
      <w:r w:rsidR="00C60B67">
        <w:rPr>
          <w:rFonts w:ascii="Arial" w:hAnsi="Arial" w:cs="Arial"/>
          <w:b/>
          <w:sz w:val="24"/>
        </w:rPr>
        <w:t>2</w:t>
      </w:r>
      <w:r w:rsidR="00C65EF3" w:rsidRPr="00AB081E">
        <w:rPr>
          <w:rFonts w:ascii="Arial" w:hAnsi="Arial" w:cs="Arial"/>
          <w:b/>
          <w:sz w:val="24"/>
        </w:rPr>
        <w:t>.</w:t>
      </w:r>
      <w:r w:rsidR="00C60B67">
        <w:rPr>
          <w:rFonts w:ascii="Arial" w:hAnsi="Arial" w:cs="Arial"/>
          <w:b/>
          <w:sz w:val="24"/>
        </w:rPr>
        <w:t>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702EC0A5"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4A2C7A" w:rsidRPr="004A2C7A">
        <w:rPr>
          <w:rFonts w:ascii="Arial" w:hAnsi="Arial" w:cs="Arial"/>
          <w:b/>
          <w:sz w:val="24"/>
        </w:rPr>
        <w:t>Discussion on FR2 HST</w:t>
      </w:r>
      <w:r w:rsidR="00C60B67">
        <w:rPr>
          <w:rFonts w:ascii="Arial" w:hAnsi="Arial" w:cs="Arial"/>
          <w:b/>
          <w:sz w:val="24"/>
        </w:rPr>
        <w:t xml:space="preserve"> deployment aspects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40E1ECB2" w14:textId="24BE1999" w:rsidR="00667EDE" w:rsidRPr="001672D9" w:rsidRDefault="00667EDE" w:rsidP="00F01182">
      <w:pPr>
        <w:jc w:val="both"/>
      </w:pPr>
      <w:bookmarkStart w:id="2" w:name="_Hlk79100912"/>
      <w:r w:rsidRPr="001672D9">
        <w:t>During RAN4#9</w:t>
      </w:r>
      <w:r w:rsidR="006C5A9C">
        <w:t>9</w:t>
      </w:r>
      <w:r w:rsidRPr="001672D9">
        <w:t xml:space="preserve">-e the following </w:t>
      </w:r>
      <w:r w:rsidR="006C5A9C">
        <w:t xml:space="preserve">open issues </w:t>
      </w:r>
      <w:r w:rsidR="006B1A2B">
        <w:t xml:space="preserve">in </w:t>
      </w:r>
      <w:r w:rsidR="006B1A2B" w:rsidRPr="001672D9">
        <w:t xml:space="preserve">HST FR2 deployment discussion </w:t>
      </w:r>
      <w:r w:rsidR="006C5A9C">
        <w:t xml:space="preserve">were captured in WF </w:t>
      </w:r>
      <w:bookmarkEnd w:id="2"/>
      <w:r w:rsidR="00AD511C" w:rsidRPr="001672D9">
        <w:t>[1]</w:t>
      </w:r>
      <w:r w:rsidRPr="001672D9">
        <w:t>:</w:t>
      </w:r>
    </w:p>
    <w:tbl>
      <w:tblPr>
        <w:tblStyle w:val="TableGrid"/>
        <w:tblW w:w="0" w:type="auto"/>
        <w:tblLook w:val="04A0" w:firstRow="1" w:lastRow="0" w:firstColumn="1" w:lastColumn="0" w:noHBand="0" w:noVBand="1"/>
      </w:tblPr>
      <w:tblGrid>
        <w:gridCol w:w="9629"/>
      </w:tblGrid>
      <w:tr w:rsidR="00667EDE" w14:paraId="439DAAEB" w14:textId="77777777" w:rsidTr="00667EDE">
        <w:tc>
          <w:tcPr>
            <w:tcW w:w="9629" w:type="dxa"/>
          </w:tcPr>
          <w:p w14:paraId="3C6530FC" w14:textId="77777777" w:rsidR="000C22EA" w:rsidRPr="000C22EA" w:rsidRDefault="000C22EA" w:rsidP="006B1A2B">
            <w:pPr>
              <w:pStyle w:val="ListParagraph"/>
              <w:numPr>
                <w:ilvl w:val="0"/>
                <w:numId w:val="3"/>
              </w:numPr>
              <w:spacing w:before="240"/>
              <w:rPr>
                <w:rFonts w:ascii="Times-Roman" w:hAnsi="Times-Roman"/>
                <w:i/>
                <w:iCs/>
                <w:sz w:val="20"/>
                <w:szCs w:val="20"/>
              </w:rPr>
            </w:pPr>
            <w:r w:rsidRPr="000C22EA">
              <w:rPr>
                <w:rFonts w:ascii="Times-Roman" w:eastAsiaTheme="minorEastAsia" w:hAnsi="Times-Roman"/>
                <w:i/>
                <w:iCs/>
                <w:sz w:val="20"/>
                <w:szCs w:val="20"/>
                <w:u w:val="single"/>
              </w:rPr>
              <w:t>Large difference in propagation delays</w:t>
            </w:r>
          </w:p>
          <w:p w14:paraId="11150D9D" w14:textId="77777777" w:rsidR="000C22EA" w:rsidRPr="000C22EA" w:rsidRDefault="000C22EA" w:rsidP="006B1A2B">
            <w:pPr>
              <w:pStyle w:val="ListParagraph"/>
              <w:numPr>
                <w:ilvl w:val="1"/>
                <w:numId w:val="3"/>
              </w:numPr>
              <w:rPr>
                <w:rFonts w:ascii="Times-Roman" w:hAnsi="Times-Roman"/>
                <w:i/>
                <w:iCs/>
                <w:sz w:val="20"/>
                <w:szCs w:val="20"/>
              </w:rPr>
            </w:pPr>
            <w:r w:rsidRPr="000C22EA">
              <w:rPr>
                <w:rFonts w:ascii="Times-Roman" w:eastAsiaTheme="minorEastAsia" w:hAnsi="Times-Roman"/>
                <w:i/>
                <w:iCs/>
                <w:sz w:val="20"/>
                <w:szCs w:val="20"/>
              </w:rPr>
              <w:t xml:space="preserve">FFS the impact of the large difference in propagation delays from different RRHs in a cell when DPS scheme is used:  </w:t>
            </w:r>
          </w:p>
          <w:p w14:paraId="6FB8003F" w14:textId="77777777" w:rsidR="000C22EA" w:rsidRPr="000C22EA" w:rsidRDefault="000C22EA" w:rsidP="006B1A2B">
            <w:pPr>
              <w:pStyle w:val="ListParagraph"/>
              <w:numPr>
                <w:ilvl w:val="2"/>
                <w:numId w:val="3"/>
              </w:numPr>
              <w:rPr>
                <w:rFonts w:ascii="Times-Roman" w:hAnsi="Times-Roman"/>
                <w:i/>
                <w:iCs/>
                <w:sz w:val="20"/>
                <w:szCs w:val="20"/>
              </w:rPr>
            </w:pPr>
            <w:r w:rsidRPr="000C22EA">
              <w:rPr>
                <w:rFonts w:ascii="Times-Roman" w:eastAsiaTheme="minorEastAsia" w:hAnsi="Times-Roman"/>
                <w:i/>
                <w:iCs/>
                <w:sz w:val="20"/>
                <w:szCs w:val="20"/>
              </w:rPr>
              <w:t xml:space="preserve">Large difference in propagation delays exist in </w:t>
            </w:r>
          </w:p>
          <w:p w14:paraId="00EE6448" w14:textId="77777777" w:rsidR="000C22EA" w:rsidRPr="000C22EA" w:rsidRDefault="000C22EA" w:rsidP="006B1A2B">
            <w:pPr>
              <w:pStyle w:val="ListParagraph"/>
              <w:numPr>
                <w:ilvl w:val="3"/>
                <w:numId w:val="3"/>
              </w:numPr>
              <w:rPr>
                <w:rFonts w:ascii="Times-Roman" w:hAnsi="Times-Roman"/>
                <w:i/>
                <w:iCs/>
                <w:sz w:val="20"/>
                <w:szCs w:val="20"/>
              </w:rPr>
            </w:pPr>
            <w:r w:rsidRPr="000C22EA">
              <w:rPr>
                <w:rFonts w:ascii="Times-Roman" w:eastAsiaTheme="minorEastAsia" w:hAnsi="Times-Roman"/>
                <w:i/>
                <w:iCs/>
                <w:sz w:val="20"/>
                <w:szCs w:val="20"/>
              </w:rPr>
              <w:t>Uni-directional RRH deployment</w:t>
            </w:r>
          </w:p>
          <w:p w14:paraId="5489C724" w14:textId="77777777" w:rsidR="000C22EA" w:rsidRPr="000C22EA" w:rsidRDefault="000C22EA" w:rsidP="006B1A2B">
            <w:pPr>
              <w:pStyle w:val="ListParagraph"/>
              <w:numPr>
                <w:ilvl w:val="3"/>
                <w:numId w:val="3"/>
              </w:numPr>
              <w:rPr>
                <w:rFonts w:ascii="Times-Roman" w:hAnsi="Times-Roman"/>
                <w:i/>
                <w:iCs/>
                <w:sz w:val="20"/>
                <w:szCs w:val="20"/>
              </w:rPr>
            </w:pPr>
            <w:r w:rsidRPr="000C22EA">
              <w:rPr>
                <w:rFonts w:ascii="Times-Roman" w:eastAsiaTheme="minorEastAsia" w:hAnsi="Times-Roman"/>
                <w:i/>
                <w:iCs/>
                <w:sz w:val="20"/>
                <w:szCs w:val="20"/>
              </w:rPr>
              <w:t>Some schemes for bi-directional RRH deployment</w:t>
            </w:r>
          </w:p>
          <w:p w14:paraId="44A997A1" w14:textId="77777777" w:rsidR="000C22EA" w:rsidRPr="000C22EA" w:rsidRDefault="000C22EA" w:rsidP="006B1A2B">
            <w:pPr>
              <w:pStyle w:val="ListParagraph"/>
              <w:numPr>
                <w:ilvl w:val="2"/>
                <w:numId w:val="3"/>
              </w:numPr>
              <w:rPr>
                <w:rFonts w:ascii="Times-Roman" w:hAnsi="Times-Roman"/>
                <w:i/>
                <w:iCs/>
                <w:sz w:val="20"/>
                <w:szCs w:val="20"/>
              </w:rPr>
            </w:pPr>
            <w:r w:rsidRPr="000C22EA">
              <w:rPr>
                <w:rFonts w:ascii="Times-Roman" w:eastAsiaTheme="minorEastAsia" w:hAnsi="Times-Roman"/>
                <w:i/>
                <w:iCs/>
                <w:sz w:val="20"/>
                <w:szCs w:val="20"/>
              </w:rPr>
              <w:t>Whether or not one deployment scenario should be precluded in Rel-17 needs to consider the decision from RRM session.</w:t>
            </w:r>
          </w:p>
          <w:p w14:paraId="25A4BFF7" w14:textId="330F8736" w:rsidR="006B1A2B" w:rsidRPr="006B1A2B" w:rsidRDefault="000C22EA" w:rsidP="00C60B67">
            <w:pPr>
              <w:pStyle w:val="ListParagraph"/>
              <w:numPr>
                <w:ilvl w:val="2"/>
                <w:numId w:val="3"/>
              </w:numPr>
              <w:rPr>
                <w:rFonts w:ascii="Times-Roman" w:eastAsia="SimSun" w:hAnsi="Times-Roman" w:hint="eastAsia"/>
                <w:i/>
                <w:iCs/>
                <w:sz w:val="20"/>
                <w:szCs w:val="20"/>
              </w:rPr>
            </w:pPr>
            <w:r w:rsidRPr="000C22EA">
              <w:rPr>
                <w:rFonts w:ascii="Times-Roman" w:eastAsiaTheme="minorEastAsia" w:hAnsi="Times-Roman"/>
                <w:i/>
                <w:iCs/>
                <w:sz w:val="20"/>
                <w:szCs w:val="20"/>
              </w:rPr>
              <w:t>RRM session will investigate and decide on potential methods to mitigate the propagation delay issue</w:t>
            </w:r>
          </w:p>
          <w:p w14:paraId="3581C3D2" w14:textId="3DA2CAB7" w:rsidR="006B1A2B" w:rsidRDefault="006B1A2B" w:rsidP="006B1A2B">
            <w:pPr>
              <w:pStyle w:val="ListParagraph"/>
              <w:spacing w:before="240"/>
              <w:ind w:left="1080"/>
              <w:rPr>
                <w:rFonts w:ascii="Times-Roman" w:eastAsiaTheme="minorEastAsia" w:hAnsi="Times-Roman"/>
                <w:i/>
                <w:iCs/>
                <w:sz w:val="20"/>
                <w:szCs w:val="20"/>
                <w:u w:val="single"/>
              </w:rPr>
            </w:pPr>
          </w:p>
          <w:p w14:paraId="294793CA" w14:textId="77777777" w:rsidR="006B1A2B" w:rsidRDefault="006B1A2B" w:rsidP="006B1A2B">
            <w:pPr>
              <w:pStyle w:val="ListParagraph"/>
              <w:spacing w:before="240"/>
              <w:ind w:left="1080"/>
              <w:rPr>
                <w:rFonts w:ascii="Times-Roman" w:eastAsiaTheme="minorEastAsia" w:hAnsi="Times-Roman"/>
                <w:i/>
                <w:iCs/>
                <w:sz w:val="20"/>
                <w:szCs w:val="20"/>
                <w:u w:val="single"/>
              </w:rPr>
            </w:pPr>
          </w:p>
          <w:p w14:paraId="071BCF61" w14:textId="0B757E7A" w:rsidR="000C22EA" w:rsidRPr="000C22EA" w:rsidRDefault="000C22EA" w:rsidP="006B1A2B">
            <w:pPr>
              <w:pStyle w:val="ListParagraph"/>
              <w:numPr>
                <w:ilvl w:val="0"/>
                <w:numId w:val="3"/>
              </w:numPr>
              <w:spacing w:before="240"/>
              <w:rPr>
                <w:rFonts w:ascii="Times-Roman" w:eastAsiaTheme="minorEastAsia" w:hAnsi="Times-Roman"/>
                <w:i/>
                <w:iCs/>
                <w:sz w:val="20"/>
                <w:szCs w:val="20"/>
                <w:u w:val="single"/>
              </w:rPr>
            </w:pPr>
            <w:r w:rsidRPr="000C22EA">
              <w:rPr>
                <w:rFonts w:ascii="Times-Roman" w:eastAsiaTheme="minorEastAsia" w:hAnsi="Times-Roman"/>
                <w:i/>
                <w:iCs/>
                <w:sz w:val="20"/>
                <w:szCs w:val="20"/>
                <w:u w:val="single"/>
              </w:rPr>
              <w:t xml:space="preserve">Potential Handover Issue: </w:t>
            </w:r>
          </w:p>
          <w:p w14:paraId="50EF67FF" w14:textId="77777777" w:rsidR="000C22EA" w:rsidRPr="000C22EA" w:rsidRDefault="000C22EA" w:rsidP="006B1A2B">
            <w:pPr>
              <w:pStyle w:val="ListParagraph"/>
              <w:numPr>
                <w:ilvl w:val="1"/>
                <w:numId w:val="3"/>
              </w:numPr>
              <w:rPr>
                <w:rFonts w:ascii="Times-Roman" w:eastAsiaTheme="minorEastAsia" w:hAnsi="Times-Roman"/>
                <w:i/>
                <w:iCs/>
                <w:sz w:val="20"/>
                <w:szCs w:val="20"/>
              </w:rPr>
            </w:pPr>
            <w:r w:rsidRPr="000C22EA">
              <w:rPr>
                <w:rFonts w:ascii="Times-Roman" w:eastAsiaTheme="minorEastAsia" w:hAnsi="Times-Roman"/>
                <w:i/>
                <w:iCs/>
                <w:sz w:val="20"/>
                <w:szCs w:val="20"/>
              </w:rPr>
              <w:t xml:space="preserve">FFS another potential handover issue due to the sudden degraded serving cell quality for UE moving toward the serving beam in uni-directional deployment. </w:t>
            </w:r>
          </w:p>
          <w:p w14:paraId="75C3043F" w14:textId="440CACA9" w:rsidR="006B1A2B" w:rsidRDefault="006B1A2B" w:rsidP="006B1A2B">
            <w:pPr>
              <w:pStyle w:val="ListParagraph"/>
              <w:ind w:left="1080"/>
              <w:rPr>
                <w:rFonts w:ascii="Times-Roman" w:eastAsia="SimSun" w:hAnsi="Times-Roman" w:hint="eastAsia"/>
                <w:i/>
                <w:iCs/>
                <w:sz w:val="20"/>
                <w:szCs w:val="20"/>
              </w:rPr>
            </w:pPr>
          </w:p>
          <w:p w14:paraId="35489C59" w14:textId="77777777" w:rsidR="006B1A2B" w:rsidRPr="006B1A2B" w:rsidRDefault="006B1A2B" w:rsidP="006B1A2B">
            <w:pPr>
              <w:pStyle w:val="ListParagraph"/>
              <w:ind w:left="1080"/>
              <w:rPr>
                <w:rFonts w:ascii="Times-Roman" w:eastAsia="SimSun" w:hAnsi="Times-Roman" w:hint="eastAsia"/>
                <w:i/>
                <w:iCs/>
                <w:sz w:val="20"/>
                <w:szCs w:val="20"/>
              </w:rPr>
            </w:pPr>
          </w:p>
          <w:p w14:paraId="07FBA60C" w14:textId="77777777" w:rsidR="000C22EA" w:rsidRPr="000C22EA" w:rsidRDefault="000C22EA" w:rsidP="006B1A2B">
            <w:pPr>
              <w:pStyle w:val="ListParagraph"/>
              <w:numPr>
                <w:ilvl w:val="0"/>
                <w:numId w:val="3"/>
              </w:numPr>
              <w:spacing w:before="240"/>
              <w:rPr>
                <w:rFonts w:ascii="Times-Roman" w:eastAsiaTheme="minorEastAsia" w:hAnsi="Times-Roman"/>
                <w:i/>
                <w:iCs/>
                <w:sz w:val="20"/>
                <w:szCs w:val="20"/>
                <w:u w:val="single"/>
              </w:rPr>
            </w:pPr>
            <w:r w:rsidRPr="000C22EA">
              <w:rPr>
                <w:rFonts w:ascii="Times-Roman" w:eastAsiaTheme="minorEastAsia" w:hAnsi="Times-Roman"/>
                <w:i/>
                <w:iCs/>
                <w:sz w:val="20"/>
                <w:szCs w:val="20"/>
                <w:u w:val="single"/>
              </w:rPr>
              <w:t xml:space="preserve">Number of Beam(s) for uni-directional (if confirmed to be used), Scenario-B: </w:t>
            </w:r>
          </w:p>
          <w:p w14:paraId="5C1DD04E" w14:textId="77777777" w:rsidR="000C22EA" w:rsidRPr="000C22EA" w:rsidRDefault="000C22EA" w:rsidP="006B1A2B">
            <w:pPr>
              <w:pStyle w:val="ListParagraph"/>
              <w:numPr>
                <w:ilvl w:val="1"/>
                <w:numId w:val="3"/>
              </w:numPr>
              <w:rPr>
                <w:rFonts w:ascii="Times-Roman" w:eastAsiaTheme="minorEastAsia" w:hAnsi="Times-Roman"/>
                <w:i/>
                <w:iCs/>
                <w:sz w:val="20"/>
                <w:szCs w:val="20"/>
              </w:rPr>
            </w:pPr>
            <w:r w:rsidRPr="000C22EA">
              <w:rPr>
                <w:rFonts w:ascii="Times-Roman" w:eastAsiaTheme="minorEastAsia" w:hAnsi="Times-Roman"/>
                <w:i/>
                <w:iCs/>
                <w:sz w:val="20"/>
                <w:szCs w:val="20"/>
              </w:rPr>
              <w:t>RRH parameter:</w:t>
            </w:r>
          </w:p>
          <w:p w14:paraId="7ECD3825" w14:textId="77777777" w:rsidR="000C22EA" w:rsidRPr="000C22EA" w:rsidRDefault="000C22EA" w:rsidP="006B1A2B">
            <w:pPr>
              <w:pStyle w:val="ListParagraph"/>
              <w:numPr>
                <w:ilvl w:val="2"/>
                <w:numId w:val="3"/>
              </w:numPr>
              <w:rPr>
                <w:rFonts w:ascii="Times-Roman" w:eastAsiaTheme="minorEastAsia" w:hAnsi="Times-Roman"/>
                <w:i/>
                <w:iCs/>
                <w:sz w:val="20"/>
                <w:szCs w:val="20"/>
              </w:rPr>
            </w:pPr>
            <w:r w:rsidRPr="000C22EA">
              <w:rPr>
                <w:rFonts w:ascii="Times-Roman" w:eastAsiaTheme="minorEastAsia" w:hAnsi="Times-Roman"/>
                <w:i/>
                <w:iCs/>
                <w:sz w:val="20"/>
                <w:szCs w:val="20"/>
              </w:rPr>
              <w:t xml:space="preserve">2 beams per RRH panel </w:t>
            </w:r>
          </w:p>
          <w:p w14:paraId="21EFCE4B" w14:textId="77777777" w:rsidR="000C22EA" w:rsidRPr="000C22EA" w:rsidRDefault="000C22EA" w:rsidP="006B1A2B">
            <w:pPr>
              <w:pStyle w:val="ListParagraph"/>
              <w:numPr>
                <w:ilvl w:val="2"/>
                <w:numId w:val="3"/>
              </w:numPr>
              <w:rPr>
                <w:rFonts w:ascii="Times-Roman" w:eastAsiaTheme="minorEastAsia" w:hAnsi="Times-Roman"/>
                <w:i/>
                <w:iCs/>
                <w:sz w:val="20"/>
                <w:szCs w:val="20"/>
              </w:rPr>
            </w:pPr>
            <w:r w:rsidRPr="000C22EA">
              <w:rPr>
                <w:rFonts w:ascii="Times-Roman" w:eastAsiaTheme="minorEastAsia" w:hAnsi="Times-Roman"/>
                <w:i/>
                <w:iCs/>
                <w:sz w:val="20"/>
                <w:szCs w:val="20"/>
              </w:rPr>
              <w:t>Other options not precluded</w:t>
            </w:r>
          </w:p>
          <w:p w14:paraId="07C9C7A0" w14:textId="77777777" w:rsidR="000C22EA" w:rsidRPr="000C22EA" w:rsidRDefault="000C22EA" w:rsidP="006B1A2B">
            <w:pPr>
              <w:pStyle w:val="ListParagraph"/>
              <w:numPr>
                <w:ilvl w:val="3"/>
                <w:numId w:val="3"/>
              </w:numPr>
              <w:rPr>
                <w:rFonts w:ascii="Times-Roman" w:eastAsiaTheme="minorEastAsia" w:hAnsi="Times-Roman"/>
                <w:i/>
                <w:iCs/>
                <w:sz w:val="20"/>
                <w:szCs w:val="20"/>
              </w:rPr>
            </w:pPr>
            <w:r w:rsidRPr="000C22EA">
              <w:rPr>
                <w:rFonts w:ascii="Times-Roman" w:eastAsiaTheme="minorEastAsia" w:hAnsi="Times-Roman"/>
                <w:i/>
                <w:iCs/>
                <w:sz w:val="20"/>
                <w:szCs w:val="20"/>
              </w:rPr>
              <w:t>FFS the benefits of implementing more beams per RRH panel</w:t>
            </w:r>
          </w:p>
          <w:p w14:paraId="62FBF753" w14:textId="77777777" w:rsidR="000C22EA" w:rsidRPr="000C22EA" w:rsidRDefault="000C22EA" w:rsidP="006B1A2B">
            <w:pPr>
              <w:pStyle w:val="ListParagraph"/>
              <w:numPr>
                <w:ilvl w:val="1"/>
                <w:numId w:val="3"/>
              </w:numPr>
              <w:rPr>
                <w:rFonts w:ascii="Times-Roman" w:eastAsiaTheme="minorEastAsia" w:hAnsi="Times-Roman"/>
                <w:i/>
                <w:iCs/>
                <w:sz w:val="20"/>
                <w:szCs w:val="20"/>
              </w:rPr>
            </w:pPr>
            <w:r w:rsidRPr="000C22EA">
              <w:rPr>
                <w:rFonts w:ascii="Times-Roman" w:eastAsiaTheme="minorEastAsia" w:hAnsi="Times-Roman"/>
                <w:i/>
                <w:iCs/>
                <w:sz w:val="20"/>
                <w:szCs w:val="20"/>
              </w:rPr>
              <w:t xml:space="preserve">UE parameter: </w:t>
            </w:r>
          </w:p>
          <w:p w14:paraId="774C1FD0" w14:textId="77777777" w:rsidR="000C22EA" w:rsidRPr="000C22EA" w:rsidRDefault="000C22EA" w:rsidP="006B1A2B">
            <w:pPr>
              <w:pStyle w:val="ListParagraph"/>
              <w:numPr>
                <w:ilvl w:val="2"/>
                <w:numId w:val="3"/>
              </w:numPr>
              <w:rPr>
                <w:rFonts w:ascii="Times-Roman" w:eastAsiaTheme="minorEastAsia" w:hAnsi="Times-Roman"/>
                <w:i/>
                <w:iCs/>
                <w:sz w:val="20"/>
                <w:szCs w:val="20"/>
              </w:rPr>
            </w:pPr>
            <w:r w:rsidRPr="000C22EA">
              <w:rPr>
                <w:rFonts w:ascii="Times-Roman" w:eastAsiaTheme="minorEastAsia" w:hAnsi="Times-Roman"/>
                <w:i/>
                <w:iCs/>
                <w:sz w:val="20"/>
                <w:szCs w:val="20"/>
              </w:rPr>
              <w:t xml:space="preserve">1 beam per UE panel </w:t>
            </w:r>
          </w:p>
          <w:p w14:paraId="3E6D67A6" w14:textId="77777777" w:rsidR="000C22EA" w:rsidRPr="000C22EA" w:rsidRDefault="000C22EA" w:rsidP="006B1A2B">
            <w:pPr>
              <w:pStyle w:val="ListParagraph"/>
              <w:numPr>
                <w:ilvl w:val="2"/>
                <w:numId w:val="3"/>
              </w:numPr>
              <w:rPr>
                <w:rFonts w:ascii="Times-Roman" w:eastAsiaTheme="minorEastAsia" w:hAnsi="Times-Roman"/>
                <w:i/>
                <w:iCs/>
                <w:sz w:val="20"/>
                <w:szCs w:val="20"/>
              </w:rPr>
            </w:pPr>
            <w:r w:rsidRPr="000C22EA">
              <w:rPr>
                <w:rFonts w:ascii="Times-Roman" w:eastAsiaTheme="minorEastAsia" w:hAnsi="Times-Roman"/>
                <w:i/>
                <w:iCs/>
                <w:sz w:val="20"/>
                <w:szCs w:val="20"/>
              </w:rPr>
              <w:t>Other options not precluded</w:t>
            </w:r>
          </w:p>
          <w:p w14:paraId="23F330A3" w14:textId="7E74D347" w:rsidR="00667EDE" w:rsidRPr="006B1A2B" w:rsidRDefault="000C22EA" w:rsidP="006B1A2B">
            <w:pPr>
              <w:pStyle w:val="ListParagraph"/>
              <w:numPr>
                <w:ilvl w:val="3"/>
                <w:numId w:val="3"/>
              </w:numPr>
              <w:spacing w:after="240"/>
              <w:rPr>
                <w:rFonts w:ascii="Times-Roman" w:eastAsiaTheme="minorEastAsia" w:hAnsi="Times-Roman"/>
                <w:i/>
                <w:iCs/>
                <w:sz w:val="20"/>
                <w:szCs w:val="20"/>
              </w:rPr>
            </w:pPr>
            <w:r w:rsidRPr="000C22EA">
              <w:rPr>
                <w:rFonts w:ascii="Times-Roman" w:eastAsiaTheme="minorEastAsia" w:hAnsi="Times-Roman"/>
                <w:i/>
                <w:iCs/>
                <w:sz w:val="20"/>
                <w:szCs w:val="20"/>
              </w:rPr>
              <w:t>FFS the benefits of implementing more beams per UE panel</w:t>
            </w:r>
          </w:p>
        </w:tc>
      </w:tr>
    </w:tbl>
    <w:p w14:paraId="68381E01" w14:textId="6520E086" w:rsidR="00096AA2" w:rsidRPr="00096AA2" w:rsidRDefault="00096AA2" w:rsidP="00F01182">
      <w:pPr>
        <w:jc w:val="both"/>
      </w:pPr>
      <w:r w:rsidRPr="00096AA2">
        <w:t xml:space="preserve">In this paper we would like to </w:t>
      </w:r>
      <w:r w:rsidR="00DF1BCE">
        <w:t>provide our views on the abovementioned open issues.</w:t>
      </w:r>
    </w:p>
    <w:p w14:paraId="0313439D" w14:textId="77777777" w:rsidR="00F01182" w:rsidRPr="00146B4F" w:rsidRDefault="00F01182" w:rsidP="00F01182">
      <w:pPr>
        <w:pStyle w:val="Heading1"/>
      </w:pPr>
      <w:r>
        <w:t>Discussion</w:t>
      </w:r>
    </w:p>
    <w:p w14:paraId="0C01D8C5" w14:textId="77777777" w:rsidR="000C22EA" w:rsidRPr="006B1A2B" w:rsidRDefault="000C22EA" w:rsidP="006B1A2B">
      <w:pPr>
        <w:spacing w:before="240"/>
        <w:rPr>
          <w:rFonts w:ascii="Times-Roman" w:hAnsi="Times-Roman" w:hint="eastAsia"/>
        </w:rPr>
      </w:pPr>
      <w:r w:rsidRPr="006B1A2B">
        <w:rPr>
          <w:rFonts w:ascii="Times-Roman" w:eastAsiaTheme="minorEastAsia" w:hAnsi="Times-Roman"/>
          <w:u w:val="single"/>
        </w:rPr>
        <w:t>Large difference in propagation delays</w:t>
      </w:r>
    </w:p>
    <w:p w14:paraId="3C790930" w14:textId="63DD5AEE" w:rsidR="0015446B" w:rsidRDefault="0015446B" w:rsidP="00494A60">
      <w:pPr>
        <w:rPr>
          <w:rFonts w:eastAsiaTheme="minorEastAsia"/>
          <w:lang w:val="en-US" w:eastAsia="zh-CN"/>
        </w:rPr>
      </w:pPr>
      <w:r>
        <w:rPr>
          <w:rFonts w:eastAsiaTheme="minorEastAsia"/>
          <w:lang w:val="en-US" w:eastAsia="zh-CN"/>
        </w:rPr>
        <w:t>Large difference in propagation delay</w:t>
      </w:r>
      <w:r w:rsidR="006E2BBD">
        <w:rPr>
          <w:rFonts w:eastAsiaTheme="minorEastAsia"/>
          <w:lang w:val="en-US" w:eastAsia="zh-CN"/>
        </w:rPr>
        <w:t>s from the neighbo</w:t>
      </w:r>
      <w:r w:rsidR="00463DFB">
        <w:rPr>
          <w:rFonts w:eastAsiaTheme="minorEastAsia"/>
          <w:lang w:val="en-US" w:eastAsia="zh-CN"/>
        </w:rPr>
        <w:t xml:space="preserve">ring RRHs </w:t>
      </w:r>
      <w:r>
        <w:rPr>
          <w:rFonts w:eastAsiaTheme="minorEastAsia"/>
          <w:lang w:val="en-US" w:eastAsia="zh-CN"/>
        </w:rPr>
        <w:t xml:space="preserve">cause </w:t>
      </w:r>
      <w:r w:rsidR="00463DFB">
        <w:rPr>
          <w:rFonts w:eastAsiaTheme="minorEastAsia"/>
          <w:lang w:val="en-US" w:eastAsia="zh-CN"/>
        </w:rPr>
        <w:t xml:space="preserve">the following </w:t>
      </w:r>
      <w:r>
        <w:rPr>
          <w:rFonts w:eastAsiaTheme="minorEastAsia"/>
          <w:lang w:val="en-US" w:eastAsia="zh-CN"/>
        </w:rPr>
        <w:t>problems:</w:t>
      </w:r>
    </w:p>
    <w:p w14:paraId="50635C9A" w14:textId="77777777" w:rsidR="00463DFB" w:rsidRDefault="0015446B" w:rsidP="00463DFB">
      <w:pPr>
        <w:pStyle w:val="ListParagraph"/>
        <w:numPr>
          <w:ilvl w:val="0"/>
          <w:numId w:val="10"/>
        </w:numPr>
        <w:rPr>
          <w:rFonts w:eastAsiaTheme="minorEastAsia"/>
          <w:sz w:val="20"/>
          <w:szCs w:val="20"/>
          <w:lang w:eastAsia="zh-CN"/>
        </w:rPr>
      </w:pPr>
      <w:r w:rsidRPr="00463DFB">
        <w:rPr>
          <w:rFonts w:eastAsiaTheme="minorEastAsia"/>
          <w:sz w:val="20"/>
          <w:szCs w:val="20"/>
          <w:lang w:eastAsia="zh-CN"/>
        </w:rPr>
        <w:t>Large timing offsets can not be estimated with TRS and DMRS</w:t>
      </w:r>
    </w:p>
    <w:p w14:paraId="4054A864" w14:textId="78EDA86D" w:rsidR="00463DFB" w:rsidRPr="00463DFB" w:rsidRDefault="00463DFB" w:rsidP="00463DFB">
      <w:pPr>
        <w:pStyle w:val="ListParagraph"/>
        <w:numPr>
          <w:ilvl w:val="0"/>
          <w:numId w:val="10"/>
        </w:numPr>
        <w:rPr>
          <w:rFonts w:eastAsiaTheme="minorEastAsia"/>
          <w:sz w:val="20"/>
          <w:szCs w:val="20"/>
          <w:lang w:eastAsia="zh-CN"/>
        </w:rPr>
      </w:pPr>
      <w:r w:rsidRPr="00463DFB">
        <w:rPr>
          <w:rFonts w:eastAsiaTheme="minorEastAsia"/>
          <w:sz w:val="20"/>
          <w:szCs w:val="20"/>
          <w:lang w:eastAsia="zh-CN"/>
        </w:rPr>
        <w:t>UE transmit timing can not be adjusted fast enough by means of the legacy autonomous timing adjustment procedure due to a limited adjustment step.</w:t>
      </w:r>
    </w:p>
    <w:p w14:paraId="32DC43D3" w14:textId="340C7D94" w:rsidR="00463DFB" w:rsidRDefault="00463DFB" w:rsidP="00494A60">
      <w:pPr>
        <w:rPr>
          <w:rFonts w:eastAsiaTheme="minorEastAsia"/>
          <w:lang w:val="en-US" w:eastAsia="zh-CN"/>
        </w:rPr>
      </w:pPr>
      <w:r>
        <w:rPr>
          <w:rFonts w:eastAsiaTheme="minorEastAsia"/>
          <w:lang w:val="en-US" w:eastAsia="zh-CN"/>
        </w:rPr>
        <w:t xml:space="preserve">In case if </w:t>
      </w:r>
      <w:r w:rsidR="00E356BD">
        <w:rPr>
          <w:rFonts w:eastAsiaTheme="minorEastAsia"/>
          <w:lang w:val="en-US" w:eastAsia="zh-CN"/>
        </w:rPr>
        <w:t xml:space="preserve">any of these </w:t>
      </w:r>
      <w:r w:rsidR="00F6772D">
        <w:rPr>
          <w:rFonts w:eastAsiaTheme="minorEastAsia"/>
          <w:lang w:val="en-US" w:eastAsia="zh-CN"/>
        </w:rPr>
        <w:t xml:space="preserve">two </w:t>
      </w:r>
      <w:r w:rsidR="00E356BD">
        <w:rPr>
          <w:rFonts w:eastAsiaTheme="minorEastAsia"/>
          <w:lang w:val="en-US" w:eastAsia="zh-CN"/>
        </w:rPr>
        <w:t>problems can not be solved the restrictions on the deployment scenarios will be required – the deployment will be limited to only bi-directional scenario. As we mentioned in our previous papers [2][3] bi-directional deployment does not have benefits over uni-directional (except of this propagation delay difference issue) and uni-directional scenario allows to use network resources in a more efficient way. So</w:t>
      </w:r>
      <w:r w:rsidR="003F1A6D">
        <w:rPr>
          <w:rFonts w:eastAsiaTheme="minorEastAsia"/>
          <w:lang w:val="en-US" w:eastAsia="zh-CN"/>
        </w:rPr>
        <w:t>,</w:t>
      </w:r>
      <w:r w:rsidR="00E356BD">
        <w:rPr>
          <w:rFonts w:eastAsiaTheme="minorEastAsia"/>
          <w:lang w:val="en-US" w:eastAsia="zh-CN"/>
        </w:rPr>
        <w:t xml:space="preserve"> we prefer</w:t>
      </w:r>
      <w:r w:rsidR="003F1A6D">
        <w:rPr>
          <w:rFonts w:eastAsiaTheme="minorEastAsia"/>
          <w:lang w:val="en-US" w:eastAsia="zh-CN"/>
        </w:rPr>
        <w:t>,</w:t>
      </w:r>
      <w:r w:rsidR="00E356BD">
        <w:rPr>
          <w:rFonts w:eastAsiaTheme="minorEastAsia"/>
          <w:lang w:val="en-US" w:eastAsia="zh-CN"/>
        </w:rPr>
        <w:t xml:space="preserve"> on the contrary, to restrict bi-directional deployment and consider only uni-directional scenario.</w:t>
      </w:r>
    </w:p>
    <w:p w14:paraId="5ECDB351" w14:textId="4AC7566C" w:rsidR="003F1A6D" w:rsidRDefault="003F1A6D" w:rsidP="003F1A6D">
      <w:pPr>
        <w:rPr>
          <w:rFonts w:eastAsiaTheme="minorEastAsia"/>
          <w:lang w:val="en-US" w:eastAsia="zh-CN"/>
        </w:rPr>
      </w:pPr>
      <w:r>
        <w:rPr>
          <w:rFonts w:eastAsiaTheme="minorEastAsia"/>
          <w:lang w:val="en-US" w:eastAsia="zh-CN"/>
        </w:rPr>
        <w:lastRenderedPageBreak/>
        <w:t xml:space="preserve">For the first problem </w:t>
      </w:r>
      <w:r w:rsidR="00F6772D">
        <w:rPr>
          <w:rFonts w:eastAsiaTheme="minorEastAsia"/>
          <w:lang w:val="en-US" w:eastAsia="zh-CN"/>
        </w:rPr>
        <w:t xml:space="preserve">(large </w:t>
      </w:r>
      <w:r w:rsidR="00F6772D" w:rsidRPr="00463DFB">
        <w:rPr>
          <w:rFonts w:eastAsiaTheme="minorEastAsia"/>
          <w:lang w:val="en-US" w:eastAsia="zh-CN"/>
        </w:rPr>
        <w:t>timing offsets</w:t>
      </w:r>
      <w:r w:rsidR="00F6772D">
        <w:rPr>
          <w:rFonts w:eastAsiaTheme="minorEastAsia"/>
          <w:lang w:val="en-US" w:eastAsia="zh-CN"/>
        </w:rPr>
        <w:t xml:space="preserve">) </w:t>
      </w:r>
      <w:r>
        <w:rPr>
          <w:rFonts w:eastAsiaTheme="minorEastAsia"/>
          <w:lang w:val="en-US" w:eastAsia="zh-CN"/>
        </w:rPr>
        <w:t>we should remind that the neighboring RRHs are assigned with different SSB indexes. In this case for each RRH we can estimate the large timing offsets through PSS/SSS detection algorithm</w:t>
      </w:r>
      <w:r w:rsidR="00590534">
        <w:rPr>
          <w:rFonts w:eastAsiaTheme="minorEastAsia"/>
          <w:lang w:val="en-US" w:eastAsia="zh-CN"/>
        </w:rPr>
        <w:t>, thus resolving the first problem</w:t>
      </w:r>
      <w:r>
        <w:rPr>
          <w:rFonts w:eastAsiaTheme="minorEastAsia"/>
          <w:lang w:val="en-US" w:eastAsia="zh-CN"/>
        </w:rPr>
        <w:t>.</w:t>
      </w:r>
    </w:p>
    <w:p w14:paraId="44FD3644" w14:textId="77DD8E9D" w:rsidR="0093720E" w:rsidRPr="0093720E" w:rsidRDefault="0093720E" w:rsidP="00494A60">
      <w:pPr>
        <w:rPr>
          <w:b/>
          <w:bCs/>
          <w:lang w:eastAsia="ja-JP" w:bidi="hi-IN"/>
        </w:rPr>
      </w:pPr>
      <w:r w:rsidRPr="0093720E">
        <w:rPr>
          <w:b/>
          <w:bCs/>
          <w:lang w:eastAsia="ja-JP" w:bidi="hi-IN"/>
        </w:rPr>
        <w:t xml:space="preserve">Observation 1: The problem of large </w:t>
      </w:r>
      <w:r w:rsidRPr="0093720E">
        <w:rPr>
          <w:rFonts w:eastAsiaTheme="minorEastAsia"/>
          <w:b/>
          <w:bCs/>
          <w:lang w:val="en-US" w:eastAsia="zh-CN"/>
        </w:rPr>
        <w:t>timing offsets estimation can be resolved by using PSS/SSS detection algorithm for each SSB associated with different RRH.</w:t>
      </w:r>
    </w:p>
    <w:p w14:paraId="576B1754" w14:textId="1BB449C1" w:rsidR="00E356BD" w:rsidRDefault="007D2341" w:rsidP="00494A60">
      <w:pPr>
        <w:rPr>
          <w:rFonts w:eastAsiaTheme="minorEastAsia"/>
          <w:lang w:val="en-US" w:eastAsia="zh-CN"/>
        </w:rPr>
      </w:pPr>
      <w:r>
        <w:rPr>
          <w:lang w:eastAsia="ja-JP" w:bidi="hi-IN"/>
        </w:rPr>
        <w:t>For the second problem (</w:t>
      </w:r>
      <w:r w:rsidR="0093720E">
        <w:rPr>
          <w:lang w:eastAsia="ja-JP" w:bidi="hi-IN"/>
        </w:rPr>
        <w:t>UE transmit timing</w:t>
      </w:r>
      <w:r>
        <w:rPr>
          <w:lang w:eastAsia="ja-JP" w:bidi="hi-IN"/>
        </w:rPr>
        <w:t xml:space="preserve">) the most promising solution is to introduce One-shot large timing adjustment feature, as it is discussed in our paper [4] submitted for RRM session. </w:t>
      </w:r>
      <w:r w:rsidR="00590534">
        <w:rPr>
          <w:rFonts w:eastAsiaTheme="minorEastAsia"/>
          <w:lang w:val="en-US" w:eastAsia="zh-CN"/>
        </w:rPr>
        <w:t>This feature has already been discussed in RAN4 in Rel-15/16 but was postponed to future releases. We propose to continue the discussion and introduce the feature into the spec at least for FR2 HST as we can see the critical need in this feature for this use case.</w:t>
      </w:r>
    </w:p>
    <w:p w14:paraId="00ABC777" w14:textId="2D7FA1A0" w:rsidR="0093720E" w:rsidRPr="004D13CF" w:rsidRDefault="0093720E" w:rsidP="00494A60">
      <w:pPr>
        <w:rPr>
          <w:rFonts w:eastAsiaTheme="minorEastAsia"/>
          <w:b/>
          <w:bCs/>
          <w:lang w:val="en-US" w:eastAsia="zh-CN"/>
        </w:rPr>
      </w:pPr>
      <w:r w:rsidRPr="004D13CF">
        <w:rPr>
          <w:rFonts w:eastAsiaTheme="minorEastAsia"/>
          <w:b/>
          <w:bCs/>
          <w:lang w:val="en-US" w:eastAsia="zh-CN"/>
        </w:rPr>
        <w:t xml:space="preserve">Observation 2: The problem of UE transmit timing can be resolved </w:t>
      </w:r>
      <w:r w:rsidR="004D13CF" w:rsidRPr="004D13CF">
        <w:rPr>
          <w:rFonts w:eastAsiaTheme="minorEastAsia"/>
          <w:b/>
          <w:bCs/>
          <w:lang w:val="en-US" w:eastAsia="zh-CN"/>
        </w:rPr>
        <w:t xml:space="preserve">by introducing </w:t>
      </w:r>
      <w:r w:rsidR="004D13CF" w:rsidRPr="004D13CF">
        <w:rPr>
          <w:b/>
          <w:bCs/>
          <w:lang w:eastAsia="ja-JP" w:bidi="hi-IN"/>
        </w:rPr>
        <w:t>introduce One-shot large timing adjustment feature.</w:t>
      </w:r>
    </w:p>
    <w:p w14:paraId="22739D59" w14:textId="0E007E7A" w:rsidR="007D2341" w:rsidRDefault="007D2341" w:rsidP="00494A60">
      <w:pPr>
        <w:rPr>
          <w:rFonts w:eastAsiaTheme="minorEastAsia"/>
          <w:lang w:val="en-US" w:eastAsia="zh-CN"/>
        </w:rPr>
      </w:pPr>
      <w:r>
        <w:rPr>
          <w:rFonts w:eastAsiaTheme="minorEastAsia"/>
          <w:lang w:val="en-US" w:eastAsia="zh-CN"/>
        </w:rPr>
        <w:t xml:space="preserve">Based on the described solutions for the large propagation delays difference problem we can say that </w:t>
      </w:r>
      <w:bookmarkStart w:id="3" w:name="_Hlk79139673"/>
      <w:r>
        <w:rPr>
          <w:rFonts w:eastAsiaTheme="minorEastAsia"/>
          <w:lang w:val="en-US" w:eastAsia="zh-CN"/>
        </w:rPr>
        <w:t xml:space="preserve">there is no need to restrict uni-directional </w:t>
      </w:r>
      <w:r w:rsidR="0093720E">
        <w:rPr>
          <w:rFonts w:eastAsiaTheme="minorEastAsia"/>
          <w:lang w:val="en-US" w:eastAsia="zh-CN"/>
        </w:rPr>
        <w:t>deployment due to this issue</w:t>
      </w:r>
      <w:bookmarkEnd w:id="3"/>
      <w:r w:rsidR="0093720E">
        <w:rPr>
          <w:rFonts w:eastAsiaTheme="minorEastAsia"/>
          <w:lang w:val="en-US" w:eastAsia="zh-CN"/>
        </w:rPr>
        <w:t>. The related problems can be solved.</w:t>
      </w:r>
    </w:p>
    <w:p w14:paraId="661AE519" w14:textId="737A2479" w:rsidR="000C22EA" w:rsidRPr="0093720E" w:rsidRDefault="007D2341" w:rsidP="00F01182">
      <w:pPr>
        <w:rPr>
          <w:b/>
          <w:bCs/>
          <w:lang w:eastAsia="ja-JP" w:bidi="hi-IN"/>
        </w:rPr>
      </w:pPr>
      <w:r w:rsidRPr="0093720E">
        <w:rPr>
          <w:rFonts w:eastAsiaTheme="minorEastAsia"/>
          <w:b/>
          <w:bCs/>
          <w:lang w:val="en-US" w:eastAsia="zh-CN"/>
        </w:rPr>
        <w:t xml:space="preserve">Proposal 1: </w:t>
      </w:r>
      <w:r w:rsidR="0093720E" w:rsidRPr="0093720E">
        <w:rPr>
          <w:rFonts w:eastAsiaTheme="minorEastAsia"/>
          <w:b/>
          <w:bCs/>
          <w:lang w:val="en-US" w:eastAsia="zh-CN"/>
        </w:rPr>
        <w:t>There is no need to restrict uni-directional deployment due to large propagation delay difference issue. The related problems can be resolved.</w:t>
      </w:r>
    </w:p>
    <w:p w14:paraId="7C4A7D85" w14:textId="50BE4B01" w:rsidR="0094656D" w:rsidRDefault="0094656D" w:rsidP="00F01182">
      <w:pPr>
        <w:rPr>
          <w:lang w:eastAsia="ja-JP" w:bidi="hi-IN"/>
        </w:rPr>
      </w:pPr>
    </w:p>
    <w:p w14:paraId="3B901F68" w14:textId="4AD4541B" w:rsidR="000C22EA" w:rsidRPr="00C60B67" w:rsidRDefault="000C22EA" w:rsidP="00C60B67">
      <w:pPr>
        <w:spacing w:before="240"/>
        <w:rPr>
          <w:rFonts w:ascii="Times-Roman" w:eastAsiaTheme="minorEastAsia" w:hAnsi="Times-Roman"/>
          <w:u w:val="single"/>
        </w:rPr>
      </w:pPr>
      <w:r w:rsidRPr="00C60B67">
        <w:rPr>
          <w:rFonts w:ascii="Times-Roman" w:eastAsiaTheme="minorEastAsia" w:hAnsi="Times-Roman"/>
          <w:u w:val="single"/>
        </w:rPr>
        <w:t xml:space="preserve">Potential Handover Issue </w:t>
      </w:r>
    </w:p>
    <w:p w14:paraId="58030D8A" w14:textId="49F69325" w:rsidR="00FE4B73" w:rsidRDefault="003D340E" w:rsidP="00F01182">
      <w:pPr>
        <w:rPr>
          <w:rFonts w:eastAsiaTheme="minorEastAsia"/>
          <w:lang w:val="en-US" w:eastAsia="zh-CN"/>
        </w:rPr>
      </w:pPr>
      <w:r>
        <w:rPr>
          <w:rFonts w:eastAsiaTheme="minorEastAsia"/>
          <w:lang w:val="en-US" w:eastAsia="zh-CN"/>
        </w:rPr>
        <w:t>In case of UE moving towards the serving beam, there might be a problem with fast drop of the serving beam SNR so that it becomes unavailable after UE passes serving RRH</w:t>
      </w:r>
      <w:r w:rsidR="00E04805">
        <w:rPr>
          <w:rFonts w:eastAsiaTheme="minorEastAsia"/>
          <w:lang w:val="en-US" w:eastAsia="zh-CN"/>
        </w:rPr>
        <w:t xml:space="preserve">. In this case either measurement </w:t>
      </w:r>
      <w:r w:rsidR="00E04805" w:rsidRPr="00E04805">
        <w:rPr>
          <w:rFonts w:eastAsiaTheme="minorEastAsia"/>
          <w:lang w:val="en-US" w:eastAsia="zh-CN"/>
        </w:rPr>
        <w:t xml:space="preserve">reports </w:t>
      </w:r>
      <w:r w:rsidR="00E04805">
        <w:rPr>
          <w:rFonts w:eastAsiaTheme="minorEastAsia"/>
          <w:lang w:val="en-US" w:eastAsia="zh-CN"/>
        </w:rPr>
        <w:t xml:space="preserve">can not </w:t>
      </w:r>
      <w:r w:rsidR="00E04805" w:rsidRPr="00E04805">
        <w:rPr>
          <w:rFonts w:eastAsiaTheme="minorEastAsia"/>
          <w:lang w:val="en-US" w:eastAsia="zh-CN"/>
        </w:rPr>
        <w:t xml:space="preserve">reach the </w:t>
      </w:r>
      <w:r w:rsidR="00E04805">
        <w:rPr>
          <w:rFonts w:eastAsiaTheme="minorEastAsia"/>
          <w:lang w:val="en-US" w:eastAsia="zh-CN"/>
        </w:rPr>
        <w:t xml:space="preserve">serving cell or the following handover command can not reach the UE. </w:t>
      </w:r>
    </w:p>
    <w:p w14:paraId="287B3DEC" w14:textId="061180A2" w:rsidR="003B1B63" w:rsidRDefault="003B1B63" w:rsidP="00F01182">
      <w:pPr>
        <w:rPr>
          <w:rFonts w:eastAsiaTheme="minorEastAsia"/>
          <w:lang w:val="en-US" w:eastAsia="zh-CN"/>
        </w:rPr>
      </w:pPr>
      <w:r>
        <w:rPr>
          <w:rFonts w:eastAsiaTheme="minorEastAsia"/>
          <w:lang w:val="en-US" w:eastAsia="zh-CN"/>
        </w:rPr>
        <w:t xml:space="preserve">The problem can be solved by Network by assigning correct threshold </w:t>
      </w:r>
      <w:r w:rsidR="00DF1BCE">
        <w:rPr>
          <w:rFonts w:eastAsiaTheme="minorEastAsia"/>
          <w:lang w:val="en-US" w:eastAsia="zh-CN"/>
        </w:rPr>
        <w:t xml:space="preserve">for handover (e.g. </w:t>
      </w:r>
      <w:r>
        <w:rPr>
          <w:rFonts w:eastAsiaTheme="minorEastAsia"/>
          <w:lang w:val="en-US" w:eastAsia="zh-CN"/>
        </w:rPr>
        <w:t>for A3 or A5 events</w:t>
      </w:r>
      <w:r w:rsidR="00DF1BCE">
        <w:rPr>
          <w:rFonts w:eastAsiaTheme="minorEastAsia"/>
          <w:lang w:val="en-US" w:eastAsia="zh-CN"/>
        </w:rPr>
        <w:t>)</w:t>
      </w:r>
      <w:r>
        <w:rPr>
          <w:rFonts w:eastAsiaTheme="minorEastAsia"/>
          <w:lang w:val="en-US" w:eastAsia="zh-CN"/>
        </w:rPr>
        <w:t>. In this case HO will hap</w:t>
      </w:r>
      <w:r w:rsidR="00E04805">
        <w:rPr>
          <w:rFonts w:eastAsiaTheme="minorEastAsia"/>
          <w:lang w:val="en-US" w:eastAsia="zh-CN"/>
        </w:rPr>
        <w:t>p</w:t>
      </w:r>
      <w:r>
        <w:rPr>
          <w:rFonts w:eastAsiaTheme="minorEastAsia"/>
          <w:lang w:val="en-US" w:eastAsia="zh-CN"/>
        </w:rPr>
        <w:t xml:space="preserve">en before the signal drop. </w:t>
      </w:r>
    </w:p>
    <w:p w14:paraId="374A5DD1" w14:textId="19B2DB77" w:rsidR="003B1B63" w:rsidRPr="00AD511C" w:rsidRDefault="003B1B63" w:rsidP="00F01182">
      <w:pPr>
        <w:rPr>
          <w:lang w:eastAsia="ja-JP" w:bidi="hi-IN"/>
        </w:rPr>
      </w:pPr>
      <w:r>
        <w:rPr>
          <w:rFonts w:eastAsiaTheme="minorEastAsia"/>
          <w:lang w:val="en-US" w:eastAsia="zh-CN"/>
        </w:rPr>
        <w:t xml:space="preserve">Another solution for this problem is Conditional handover which was designed to solve same issues – when serving cell suddenly becomes unavailable. In Conditional HO serving cell sends HO command </w:t>
      </w:r>
      <w:r w:rsidR="00E04805">
        <w:rPr>
          <w:rFonts w:eastAsiaTheme="minorEastAsia"/>
          <w:lang w:val="en-US" w:eastAsia="zh-CN"/>
        </w:rPr>
        <w:t>in advance together with the associated condition on when to apply this command. UE receives the command and stores it without applying and starts monitoring the received condition. As soon as condition is met, UE applies the stored command and sends PRACH to the target cell without additional communication with serving cell.</w:t>
      </w:r>
    </w:p>
    <w:p w14:paraId="12DA228C" w14:textId="3FC55288" w:rsidR="000C22EA" w:rsidRDefault="00E04805" w:rsidP="001672D9">
      <w:pPr>
        <w:rPr>
          <w:b/>
          <w:bCs/>
          <w:lang w:eastAsia="ja-JP" w:bidi="hi-IN"/>
        </w:rPr>
      </w:pPr>
      <w:r w:rsidRPr="00E04805">
        <w:rPr>
          <w:b/>
          <w:bCs/>
          <w:lang w:eastAsia="ja-JP" w:bidi="hi-IN"/>
        </w:rPr>
        <w:t xml:space="preserve">Observation </w:t>
      </w:r>
      <w:r w:rsidR="00EF7C85">
        <w:rPr>
          <w:b/>
          <w:bCs/>
          <w:lang w:eastAsia="ja-JP" w:bidi="hi-IN"/>
        </w:rPr>
        <w:t>3</w:t>
      </w:r>
      <w:r w:rsidRPr="00E04805">
        <w:rPr>
          <w:b/>
          <w:bCs/>
          <w:lang w:eastAsia="ja-JP" w:bidi="hi-IN"/>
        </w:rPr>
        <w:t>: potential handover issue due to the sudden degraded serving cell quality for UE moving toward the serving beam in uni-directional deployment can be solved by proper Network configuration: either through setting correct threshold to perform HO earlier, or by using Conditional HO.</w:t>
      </w:r>
    </w:p>
    <w:p w14:paraId="04009D22" w14:textId="77777777" w:rsidR="00E04805" w:rsidRPr="00E04805" w:rsidRDefault="00E04805" w:rsidP="001672D9">
      <w:pPr>
        <w:rPr>
          <w:b/>
          <w:bCs/>
          <w:lang w:eastAsia="ja-JP" w:bidi="hi-IN"/>
        </w:rPr>
      </w:pPr>
    </w:p>
    <w:p w14:paraId="2D044E5C" w14:textId="124A9CAB" w:rsidR="000C22EA" w:rsidRPr="00C60B67" w:rsidRDefault="000C22EA" w:rsidP="001672D9">
      <w:pPr>
        <w:rPr>
          <w:lang w:eastAsia="ja-JP" w:bidi="hi-IN"/>
        </w:rPr>
      </w:pPr>
      <w:r w:rsidRPr="000C22EA">
        <w:rPr>
          <w:rFonts w:ascii="Times-Roman" w:eastAsiaTheme="minorEastAsia" w:hAnsi="Times-Roman"/>
          <w:u w:val="single"/>
          <w:lang w:val="en-US"/>
        </w:rPr>
        <w:t>Number of Beam(s) for uni-directional</w:t>
      </w:r>
      <w:r w:rsidR="00C97F46">
        <w:rPr>
          <w:rFonts w:ascii="Times-Roman" w:eastAsiaTheme="minorEastAsia" w:hAnsi="Times-Roman"/>
          <w:u w:val="single"/>
          <w:lang w:val="en-US"/>
        </w:rPr>
        <w:t xml:space="preserve"> deployment in</w:t>
      </w:r>
      <w:r w:rsidRPr="000C22EA">
        <w:rPr>
          <w:rFonts w:ascii="Times-Roman" w:eastAsiaTheme="minorEastAsia" w:hAnsi="Times-Roman"/>
          <w:u w:val="single"/>
          <w:lang w:val="en-US"/>
        </w:rPr>
        <w:t xml:space="preserve"> Scenario-B</w:t>
      </w:r>
    </w:p>
    <w:p w14:paraId="6DE9642C" w14:textId="6430152E" w:rsidR="00EF7C85" w:rsidRDefault="00EF7C85" w:rsidP="00B07814">
      <w:pPr>
        <w:rPr>
          <w:lang w:eastAsia="ja-JP" w:bidi="hi-IN"/>
        </w:rPr>
      </w:pPr>
      <w:r w:rsidRPr="00AD511C">
        <w:rPr>
          <w:lang w:eastAsia="ja-JP" w:bidi="hi-IN"/>
        </w:rPr>
        <w:t xml:space="preserve">To justify the </w:t>
      </w:r>
      <w:r>
        <w:rPr>
          <w:lang w:eastAsia="ja-JP" w:bidi="hi-IN"/>
        </w:rPr>
        <w:t>proposal made in this section</w:t>
      </w:r>
      <w:r w:rsidRPr="00AD511C">
        <w:rPr>
          <w:lang w:eastAsia="ja-JP" w:bidi="hi-IN"/>
        </w:rPr>
        <w:t xml:space="preserve">, we will refer to </w:t>
      </w:r>
      <w:r>
        <w:rPr>
          <w:lang w:eastAsia="ja-JP" w:bidi="hi-IN"/>
        </w:rPr>
        <w:t xml:space="preserve">the link budget analysis. The main assumptions were described in </w:t>
      </w:r>
      <w:r w:rsidRPr="00CC5DB4">
        <w:rPr>
          <w:lang w:eastAsia="ja-JP" w:bidi="hi-IN"/>
        </w:rPr>
        <w:t>[</w:t>
      </w:r>
      <w:r>
        <w:rPr>
          <w:lang w:eastAsia="ja-JP" w:bidi="hi-IN"/>
        </w:rPr>
        <w:t>5</w:t>
      </w:r>
      <w:r w:rsidRPr="00CC5DB4">
        <w:rPr>
          <w:lang w:eastAsia="ja-JP" w:bidi="hi-IN"/>
        </w:rPr>
        <w:t xml:space="preserve">] </w:t>
      </w:r>
      <w:r>
        <w:rPr>
          <w:lang w:eastAsia="ja-JP" w:bidi="hi-IN"/>
        </w:rPr>
        <w:t xml:space="preserve">and </w:t>
      </w:r>
      <w:r w:rsidRPr="00CC5DB4">
        <w:rPr>
          <w:lang w:eastAsia="ja-JP" w:bidi="hi-IN"/>
        </w:rPr>
        <w:t>[</w:t>
      </w:r>
      <w:r>
        <w:rPr>
          <w:lang w:eastAsia="ja-JP" w:bidi="hi-IN"/>
        </w:rPr>
        <w:t>6</w:t>
      </w:r>
      <w:r w:rsidRPr="00CC5DB4">
        <w:rPr>
          <w:lang w:eastAsia="ja-JP" w:bidi="hi-IN"/>
        </w:rPr>
        <w:t>]</w:t>
      </w:r>
      <w:r>
        <w:rPr>
          <w:lang w:eastAsia="ja-JP" w:bidi="hi-IN"/>
        </w:rPr>
        <w:t xml:space="preserve">. For the analysis in this paper we used the antenna parameters agreed in the previous meetings: </w:t>
      </w:r>
      <w:r w:rsidRPr="00014D23">
        <w:rPr>
          <w:lang w:eastAsia="ja-JP" w:bidi="hi-IN"/>
        </w:rPr>
        <w:t>[Mg, Ng, M, N, P]=[1, 1, 8, 8, 2]</w:t>
      </w:r>
      <w:r>
        <w:rPr>
          <w:lang w:eastAsia="ja-JP" w:bidi="hi-IN"/>
        </w:rPr>
        <w:t xml:space="preserve"> at RRH side and </w:t>
      </w:r>
      <w:r w:rsidRPr="00014D23">
        <w:rPr>
          <w:lang w:eastAsia="ja-JP" w:bidi="hi-IN"/>
        </w:rPr>
        <w:t xml:space="preserve">[Mg, Ng, M, N, P]=[1, 1, </w:t>
      </w:r>
      <w:r>
        <w:rPr>
          <w:lang w:eastAsia="ja-JP" w:bidi="hi-IN"/>
        </w:rPr>
        <w:t>4</w:t>
      </w:r>
      <w:r w:rsidRPr="00014D23">
        <w:rPr>
          <w:lang w:eastAsia="ja-JP" w:bidi="hi-IN"/>
        </w:rPr>
        <w:t xml:space="preserve">, </w:t>
      </w:r>
      <w:r>
        <w:rPr>
          <w:lang w:eastAsia="ja-JP" w:bidi="hi-IN"/>
        </w:rPr>
        <w:t>4</w:t>
      </w:r>
      <w:r w:rsidRPr="00014D23">
        <w:rPr>
          <w:lang w:eastAsia="ja-JP" w:bidi="hi-IN"/>
        </w:rPr>
        <w:t>, 2]</w:t>
      </w:r>
      <w:r>
        <w:rPr>
          <w:lang w:eastAsia="ja-JP" w:bidi="hi-IN"/>
        </w:rPr>
        <w:t xml:space="preserve"> at the UE side. </w:t>
      </w:r>
    </w:p>
    <w:p w14:paraId="48D3710E" w14:textId="18B4DF5B" w:rsidR="00B07814" w:rsidRDefault="00B07814" w:rsidP="00B07814">
      <w:pPr>
        <w:rPr>
          <w:rFonts w:ascii="Times-Roman" w:hAnsi="Times-Roman" w:hint="eastAsia"/>
          <w:lang w:val="en-US"/>
        </w:rPr>
      </w:pPr>
      <w:r>
        <w:rPr>
          <w:rFonts w:ascii="Times-Roman" w:hAnsi="Times-Roman"/>
          <w:lang w:val="en-US"/>
        </w:rPr>
        <w:t>Figure 1 shows the comparison between DL SNR along the track for the case when one (red curve) and eight (blue curve) beams are used at the UE. The comparison was made for the case of 2 Tx beams at RRH (Figure 1a) as it was proposed in [</w:t>
      </w:r>
      <w:r w:rsidR="00EF7C85">
        <w:rPr>
          <w:rFonts w:ascii="Times-Roman" w:hAnsi="Times-Roman"/>
          <w:lang w:val="en-US"/>
        </w:rPr>
        <w:t>3</w:t>
      </w:r>
      <w:r>
        <w:rPr>
          <w:rFonts w:ascii="Times-Roman" w:hAnsi="Times-Roman"/>
          <w:lang w:val="en-US"/>
        </w:rPr>
        <w:t xml:space="preserve">] and for the case of 8 Tx beams (Figure 1b) to demonstrate the behavior under wider RRH coverage. </w:t>
      </w:r>
    </w:p>
    <w:p w14:paraId="72A50AB6" w14:textId="77777777" w:rsidR="00B07814" w:rsidRDefault="00B07814" w:rsidP="00B07814">
      <w:pPr>
        <w:rPr>
          <w:u w:val="single"/>
          <w:lang w:eastAsia="ja-JP" w:bidi="hi-IN"/>
        </w:rPr>
      </w:pPr>
    </w:p>
    <w:tbl>
      <w:tblPr>
        <w:tblStyle w:val="TableGrid"/>
        <w:tblW w:w="0" w:type="auto"/>
        <w:tblLook w:val="04A0" w:firstRow="1" w:lastRow="0" w:firstColumn="1" w:lastColumn="0" w:noHBand="0" w:noVBand="1"/>
      </w:tblPr>
      <w:tblGrid>
        <w:gridCol w:w="704"/>
        <w:gridCol w:w="8925"/>
      </w:tblGrid>
      <w:tr w:rsidR="00B07814" w14:paraId="0C43325A" w14:textId="77777777" w:rsidTr="00D95168">
        <w:trPr>
          <w:trHeight w:val="2480"/>
        </w:trPr>
        <w:tc>
          <w:tcPr>
            <w:tcW w:w="704" w:type="dxa"/>
            <w:tcBorders>
              <w:bottom w:val="nil"/>
              <w:right w:val="nil"/>
            </w:tcBorders>
            <w:vAlign w:val="center"/>
          </w:tcPr>
          <w:p w14:paraId="4098E626" w14:textId="77777777" w:rsidR="00B07814" w:rsidRDefault="00B07814" w:rsidP="00D95168">
            <w:pPr>
              <w:spacing w:after="0"/>
              <w:jc w:val="center"/>
              <w:rPr>
                <w:rFonts w:ascii="Times-Roman" w:hAnsi="Times-Roman" w:hint="eastAsia"/>
                <w:lang w:val="en-US"/>
              </w:rPr>
            </w:pPr>
          </w:p>
          <w:p w14:paraId="44C2075C" w14:textId="77777777" w:rsidR="00B07814" w:rsidRDefault="00B07814" w:rsidP="00D95168">
            <w:pPr>
              <w:spacing w:before="0"/>
              <w:jc w:val="center"/>
              <w:rPr>
                <w:rFonts w:ascii="Times-Roman" w:hAnsi="Times-Roman" w:hint="eastAsia"/>
                <w:lang w:val="en-US"/>
              </w:rPr>
            </w:pPr>
            <w:r>
              <w:rPr>
                <w:rFonts w:ascii="Times-Roman" w:hAnsi="Times-Roman"/>
                <w:lang w:val="en-US"/>
              </w:rPr>
              <w:t>a)</w:t>
            </w:r>
          </w:p>
          <w:p w14:paraId="62A1402B" w14:textId="77777777" w:rsidR="00B07814" w:rsidRDefault="00B07814" w:rsidP="00D95168">
            <w:pPr>
              <w:jc w:val="center"/>
              <w:rPr>
                <w:u w:val="single"/>
                <w:lang w:eastAsia="ja-JP" w:bidi="hi-IN"/>
              </w:rPr>
            </w:pPr>
          </w:p>
        </w:tc>
        <w:tc>
          <w:tcPr>
            <w:tcW w:w="8925" w:type="dxa"/>
            <w:tcBorders>
              <w:left w:val="nil"/>
              <w:bottom w:val="nil"/>
            </w:tcBorders>
            <w:vAlign w:val="center"/>
          </w:tcPr>
          <w:p w14:paraId="5F27931A" w14:textId="77777777" w:rsidR="00B07814" w:rsidRDefault="00B07814" w:rsidP="00D95168">
            <w:pPr>
              <w:rPr>
                <w:u w:val="single"/>
                <w:lang w:eastAsia="ja-JP" w:bidi="hi-IN"/>
              </w:rPr>
            </w:pPr>
            <w:r w:rsidRPr="00EB2891">
              <w:rPr>
                <w:rFonts w:ascii="Times-Roman" w:hAnsi="Times-Roman" w:hint="eastAsia"/>
                <w:noProof/>
                <w:lang w:val="en-US"/>
              </w:rPr>
              <w:drawing>
                <wp:inline distT="0" distB="0" distL="0" distR="0" wp14:anchorId="4560F5C9" wp14:editId="33C1F6DD">
                  <wp:extent cx="5188527" cy="2161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9410" r="5665"/>
                          <a:stretch/>
                        </pic:blipFill>
                        <pic:spPr bwMode="auto">
                          <a:xfrm>
                            <a:off x="0" y="0"/>
                            <a:ext cx="5188851" cy="216154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07814" w14:paraId="168F73AD" w14:textId="77777777" w:rsidTr="00D95168">
        <w:trPr>
          <w:trHeight w:val="2480"/>
        </w:trPr>
        <w:tc>
          <w:tcPr>
            <w:tcW w:w="704" w:type="dxa"/>
            <w:tcBorders>
              <w:top w:val="nil"/>
              <w:bottom w:val="nil"/>
              <w:right w:val="nil"/>
            </w:tcBorders>
            <w:vAlign w:val="center"/>
          </w:tcPr>
          <w:p w14:paraId="08EF5B60" w14:textId="77777777" w:rsidR="00B07814" w:rsidRDefault="00B07814" w:rsidP="00D95168">
            <w:pPr>
              <w:spacing w:before="0"/>
              <w:jc w:val="center"/>
              <w:rPr>
                <w:rFonts w:ascii="Times-Roman" w:hAnsi="Times-Roman" w:hint="eastAsia"/>
                <w:lang w:val="en-US"/>
              </w:rPr>
            </w:pPr>
            <w:r>
              <w:rPr>
                <w:rFonts w:ascii="Times-Roman" w:hAnsi="Times-Roman"/>
                <w:lang w:val="en-US"/>
              </w:rPr>
              <w:t>b)</w:t>
            </w:r>
          </w:p>
        </w:tc>
        <w:tc>
          <w:tcPr>
            <w:tcW w:w="8925" w:type="dxa"/>
            <w:tcBorders>
              <w:top w:val="nil"/>
              <w:left w:val="nil"/>
              <w:bottom w:val="nil"/>
            </w:tcBorders>
            <w:vAlign w:val="center"/>
          </w:tcPr>
          <w:p w14:paraId="61911996" w14:textId="77777777" w:rsidR="00B07814" w:rsidRDefault="00B07814" w:rsidP="00D95168">
            <w:pPr>
              <w:spacing w:after="0"/>
              <w:rPr>
                <w:rFonts w:ascii="Times-Roman" w:hAnsi="Times-Roman" w:hint="eastAsia"/>
                <w:lang w:val="en-US"/>
              </w:rPr>
            </w:pPr>
            <w:r w:rsidRPr="00EB2891">
              <w:rPr>
                <w:noProof/>
                <w:lang w:eastAsia="ja-JP" w:bidi="hi-IN"/>
              </w:rPr>
              <w:drawing>
                <wp:inline distT="0" distB="0" distL="0" distR="0" wp14:anchorId="332843C5" wp14:editId="2ABC9AFC">
                  <wp:extent cx="5160529" cy="21614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9751" r="5784"/>
                          <a:stretch/>
                        </pic:blipFill>
                        <pic:spPr bwMode="auto">
                          <a:xfrm>
                            <a:off x="0" y="0"/>
                            <a:ext cx="5160788" cy="216154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07814" w14:paraId="1E921687" w14:textId="77777777" w:rsidTr="00D95168">
        <w:trPr>
          <w:trHeight w:val="841"/>
        </w:trPr>
        <w:tc>
          <w:tcPr>
            <w:tcW w:w="9629" w:type="dxa"/>
            <w:gridSpan w:val="2"/>
            <w:tcBorders>
              <w:top w:val="nil"/>
            </w:tcBorders>
            <w:vAlign w:val="center"/>
          </w:tcPr>
          <w:p w14:paraId="185561B5" w14:textId="1F85933F" w:rsidR="00B07814" w:rsidRDefault="00B07814" w:rsidP="00D95168">
            <w:pPr>
              <w:jc w:val="center"/>
              <w:rPr>
                <w:rFonts w:ascii="Times-Roman" w:hAnsi="Times-Roman" w:hint="eastAsia"/>
                <w:lang w:val="en-US"/>
              </w:rPr>
            </w:pPr>
            <w:r>
              <w:rPr>
                <w:rFonts w:ascii="Times-Roman" w:hAnsi="Times-Roman"/>
                <w:lang w:val="en-US"/>
              </w:rPr>
              <w:t>Figure 1. DL SNR along the track for the cases when one (red curve) and eight (blue curve) beams are used at the UE. L1-RSRP measurement report delay is considered (train moves from left to right)</w:t>
            </w:r>
          </w:p>
        </w:tc>
      </w:tr>
    </w:tbl>
    <w:p w14:paraId="6576EE3D" w14:textId="2F403E90" w:rsidR="00B07814" w:rsidRDefault="00B07814" w:rsidP="00B07814">
      <w:pPr>
        <w:rPr>
          <w:color w:val="FF0000"/>
          <w:lang w:val="en-US" w:eastAsia="ja-JP" w:bidi="hi-IN"/>
        </w:rPr>
      </w:pPr>
      <w:r>
        <w:rPr>
          <w:rFonts w:eastAsiaTheme="minorEastAsia"/>
          <w:lang w:eastAsia="zh-CN"/>
        </w:rPr>
        <w:t>As we can see, considering more UE R</w:t>
      </w:r>
      <w:r w:rsidR="00EF7C85">
        <w:rPr>
          <w:rFonts w:eastAsiaTheme="minorEastAsia"/>
          <w:lang w:eastAsia="zh-CN"/>
        </w:rPr>
        <w:t>x</w:t>
      </w:r>
      <w:r>
        <w:rPr>
          <w:rFonts w:eastAsiaTheme="minorEastAsia"/>
          <w:lang w:eastAsia="zh-CN"/>
        </w:rPr>
        <w:t xml:space="preserve"> beams may provide better SNR. But even for the case of </w:t>
      </w:r>
      <w:r w:rsidR="00EF7C85">
        <w:rPr>
          <w:rFonts w:eastAsiaTheme="minorEastAsia"/>
          <w:lang w:eastAsia="zh-CN"/>
        </w:rPr>
        <w:t xml:space="preserve">2 RRH beams and </w:t>
      </w:r>
      <w:r>
        <w:rPr>
          <w:rFonts w:eastAsiaTheme="minorEastAsia"/>
          <w:lang w:eastAsia="zh-CN"/>
        </w:rPr>
        <w:t xml:space="preserve">fixed </w:t>
      </w:r>
      <w:r w:rsidR="00EF7C85">
        <w:rPr>
          <w:rFonts w:eastAsiaTheme="minorEastAsia"/>
          <w:lang w:eastAsia="zh-CN"/>
        </w:rPr>
        <w:t xml:space="preserve">UE </w:t>
      </w:r>
      <w:r>
        <w:rPr>
          <w:rFonts w:eastAsiaTheme="minorEastAsia"/>
          <w:lang w:eastAsia="zh-CN"/>
        </w:rPr>
        <w:t xml:space="preserve">Rx beam </w:t>
      </w:r>
      <w:r>
        <w:rPr>
          <w:rFonts w:ascii="Times-Roman" w:hAnsi="Times-Roman"/>
          <w:lang w:val="en-US"/>
        </w:rPr>
        <w:t>we already have sufficient link budget</w:t>
      </w:r>
      <w:r w:rsidR="00EF7C85">
        <w:rPr>
          <w:rFonts w:ascii="Times-Roman" w:hAnsi="Times-Roman"/>
          <w:lang w:val="en-US"/>
        </w:rPr>
        <w:t xml:space="preserve">. Moreover, the issue of the CPE beams number is mostly related to RRM where we need to define the number of beams for beam search. The </w:t>
      </w:r>
      <w:bookmarkStart w:id="4" w:name="_Hlk71379422"/>
      <w:r w:rsidR="00EF7C85">
        <w:rPr>
          <w:rFonts w:ascii="Times-Roman" w:hAnsi="Times-Roman"/>
          <w:lang w:val="en-US"/>
        </w:rPr>
        <w:t xml:space="preserve">RRM requirements for SNR are much lower than the demodulation requirements for high MCS used in our analysis, so we are more than fine with the </w:t>
      </w:r>
      <w:bookmarkEnd w:id="4"/>
      <w:r w:rsidR="00EF7C85">
        <w:rPr>
          <w:rFonts w:ascii="Times-Roman" w:hAnsi="Times-Roman"/>
          <w:lang w:val="en-US"/>
        </w:rPr>
        <w:t>SNR provided by single beam</w:t>
      </w:r>
      <w:r>
        <w:rPr>
          <w:rFonts w:ascii="Times-Roman" w:hAnsi="Times-Roman"/>
          <w:lang w:val="en-US"/>
        </w:rPr>
        <w:t xml:space="preserve">.  </w:t>
      </w:r>
    </w:p>
    <w:p w14:paraId="735ED6A9" w14:textId="5C5FD1EF" w:rsidR="000C22EA" w:rsidRDefault="00EF7C85" w:rsidP="001672D9">
      <w:pPr>
        <w:rPr>
          <w:lang w:eastAsia="ja-JP" w:bidi="hi-IN"/>
        </w:rPr>
      </w:pPr>
      <w:r>
        <w:rPr>
          <w:b/>
          <w:bCs/>
          <w:lang w:val="en-US" w:eastAsia="ja-JP" w:bidi="hi-IN"/>
        </w:rPr>
        <w:t>Proposal 2</w:t>
      </w:r>
      <w:r w:rsidR="00B07814" w:rsidRPr="00622C25">
        <w:rPr>
          <w:b/>
          <w:bCs/>
          <w:lang w:val="en-US" w:eastAsia="ja-JP" w:bidi="hi-IN"/>
        </w:rPr>
        <w:t>:</w:t>
      </w:r>
      <w:r>
        <w:rPr>
          <w:b/>
          <w:bCs/>
          <w:lang w:val="en-US" w:eastAsia="ja-JP" w:bidi="hi-IN"/>
        </w:rPr>
        <w:t xml:space="preserve"> </w:t>
      </w:r>
      <w:r>
        <w:rPr>
          <w:rFonts w:ascii="Times-Roman" w:hAnsi="Times-Roman"/>
          <w:b/>
          <w:bCs/>
          <w:lang w:val="en-US"/>
        </w:rPr>
        <w:t xml:space="preserve">For </w:t>
      </w:r>
      <w:r>
        <w:rPr>
          <w:b/>
        </w:rPr>
        <w:t>uni-directional Scenario-B</w:t>
      </w:r>
      <w:r>
        <w:rPr>
          <w:rFonts w:ascii="Times-Roman" w:hAnsi="Times-Roman"/>
          <w:b/>
          <w:bCs/>
          <w:lang w:val="en-US"/>
        </w:rPr>
        <w:t xml:space="preserve"> deployment RAN4 to </w:t>
      </w:r>
      <w:r w:rsidRPr="005B2C41">
        <w:rPr>
          <w:rFonts w:ascii="Times-Roman" w:hAnsi="Times-Roman"/>
          <w:b/>
          <w:bCs/>
          <w:lang w:val="en-US"/>
        </w:rPr>
        <w:t xml:space="preserve">consider </w:t>
      </w:r>
      <w:r>
        <w:rPr>
          <w:rFonts w:ascii="Times-Roman" w:hAnsi="Times-Roman"/>
          <w:b/>
          <w:bCs/>
          <w:lang w:val="en-US"/>
        </w:rPr>
        <w:t>1</w:t>
      </w:r>
      <w:r w:rsidRPr="005B2C41">
        <w:rPr>
          <w:rFonts w:ascii="Times-Roman" w:hAnsi="Times-Roman"/>
          <w:b/>
          <w:bCs/>
          <w:lang w:val="en-US"/>
        </w:rPr>
        <w:t xml:space="preserve"> </w:t>
      </w:r>
      <w:r>
        <w:rPr>
          <w:rFonts w:ascii="Times-Roman" w:hAnsi="Times-Roman"/>
          <w:b/>
          <w:bCs/>
          <w:lang w:val="en-US"/>
        </w:rPr>
        <w:t>beam per UE</w:t>
      </w:r>
      <w:r w:rsidRPr="005B2C41">
        <w:rPr>
          <w:rFonts w:ascii="Times-Roman" w:hAnsi="Times-Roman"/>
          <w:b/>
          <w:bCs/>
          <w:lang w:val="en-US"/>
        </w:rPr>
        <w:t xml:space="preserve"> </w:t>
      </w:r>
      <w:r>
        <w:rPr>
          <w:rFonts w:ascii="Times-Roman" w:hAnsi="Times-Roman"/>
          <w:b/>
          <w:bCs/>
          <w:lang w:val="en-US"/>
        </w:rPr>
        <w:t>panel and 2 beams per RRH panel.</w:t>
      </w:r>
    </w:p>
    <w:p w14:paraId="06B0650C" w14:textId="77777777" w:rsidR="00F01182" w:rsidRPr="00146B4F" w:rsidRDefault="00F01182" w:rsidP="00F01182">
      <w:pPr>
        <w:pStyle w:val="Heading1"/>
      </w:pPr>
      <w:r w:rsidRPr="00146B4F">
        <w:t>Conclusion</w:t>
      </w:r>
    </w:p>
    <w:p w14:paraId="31952EBC" w14:textId="01C911A0" w:rsidR="00622C25" w:rsidRPr="00096AA2" w:rsidRDefault="00622C25" w:rsidP="00622C25">
      <w:pPr>
        <w:jc w:val="both"/>
      </w:pPr>
      <w:r w:rsidRPr="00096AA2">
        <w:t xml:space="preserve">In this paper we </w:t>
      </w:r>
      <w:r>
        <w:t xml:space="preserve">provided our view on </w:t>
      </w:r>
      <w:r w:rsidR="00741752">
        <w:t xml:space="preserve">several open issues in </w:t>
      </w:r>
      <w:r w:rsidR="00741752" w:rsidRPr="001672D9">
        <w:t>HST FR2 deployment discussion</w:t>
      </w:r>
      <w:r>
        <w:t>. The following proposal were made:</w:t>
      </w:r>
    </w:p>
    <w:p w14:paraId="7C7CD2ED" w14:textId="77777777" w:rsidR="00741752" w:rsidRPr="0093720E" w:rsidRDefault="00741752" w:rsidP="00741752">
      <w:pPr>
        <w:rPr>
          <w:b/>
          <w:bCs/>
          <w:lang w:eastAsia="ja-JP" w:bidi="hi-IN"/>
        </w:rPr>
      </w:pPr>
      <w:r w:rsidRPr="0093720E">
        <w:rPr>
          <w:b/>
          <w:bCs/>
          <w:lang w:eastAsia="ja-JP" w:bidi="hi-IN"/>
        </w:rPr>
        <w:t xml:space="preserve">Observation 1: The problem of large </w:t>
      </w:r>
      <w:r w:rsidRPr="0093720E">
        <w:rPr>
          <w:rFonts w:eastAsiaTheme="minorEastAsia"/>
          <w:b/>
          <w:bCs/>
          <w:lang w:val="en-US" w:eastAsia="zh-CN"/>
        </w:rPr>
        <w:t>timing offsets estimation can be resolved by using PSS/SSS detection algorithm for each SSB associated with different RRH.</w:t>
      </w:r>
    </w:p>
    <w:p w14:paraId="42D10C58" w14:textId="77777777" w:rsidR="00741752" w:rsidRPr="004D13CF" w:rsidRDefault="00741752" w:rsidP="00741752">
      <w:pPr>
        <w:rPr>
          <w:rFonts w:eastAsiaTheme="minorEastAsia"/>
          <w:b/>
          <w:bCs/>
          <w:lang w:val="en-US" w:eastAsia="zh-CN"/>
        </w:rPr>
      </w:pPr>
      <w:r w:rsidRPr="004D13CF">
        <w:rPr>
          <w:rFonts w:eastAsiaTheme="minorEastAsia"/>
          <w:b/>
          <w:bCs/>
          <w:lang w:val="en-US" w:eastAsia="zh-CN"/>
        </w:rPr>
        <w:t xml:space="preserve">Observation 2: The problem of UE transmit timing can be resolved by introducing </w:t>
      </w:r>
      <w:r w:rsidRPr="004D13CF">
        <w:rPr>
          <w:b/>
          <w:bCs/>
          <w:lang w:eastAsia="ja-JP" w:bidi="hi-IN"/>
        </w:rPr>
        <w:t>introduce One-shot large timing adjustment feature.</w:t>
      </w:r>
    </w:p>
    <w:p w14:paraId="0E91436C" w14:textId="77777777" w:rsidR="00741752" w:rsidRPr="0093720E" w:rsidRDefault="00741752" w:rsidP="00741752">
      <w:pPr>
        <w:rPr>
          <w:b/>
          <w:bCs/>
          <w:lang w:eastAsia="ja-JP" w:bidi="hi-IN"/>
        </w:rPr>
      </w:pPr>
      <w:r w:rsidRPr="0093720E">
        <w:rPr>
          <w:rFonts w:eastAsiaTheme="minorEastAsia"/>
          <w:b/>
          <w:bCs/>
          <w:lang w:val="en-US" w:eastAsia="zh-CN"/>
        </w:rPr>
        <w:t>Proposal 1: There is no need to restrict uni-directional deployment due to large propagation delay difference issue. The related problems can be resolved.</w:t>
      </w:r>
    </w:p>
    <w:p w14:paraId="4D73D7F8" w14:textId="77777777" w:rsidR="00741752" w:rsidRDefault="00741752" w:rsidP="00741752">
      <w:pPr>
        <w:rPr>
          <w:b/>
          <w:bCs/>
          <w:lang w:eastAsia="ja-JP" w:bidi="hi-IN"/>
        </w:rPr>
      </w:pPr>
      <w:r w:rsidRPr="00E04805">
        <w:rPr>
          <w:b/>
          <w:bCs/>
          <w:lang w:eastAsia="ja-JP" w:bidi="hi-IN"/>
        </w:rPr>
        <w:t xml:space="preserve">Observation </w:t>
      </w:r>
      <w:r>
        <w:rPr>
          <w:b/>
          <w:bCs/>
          <w:lang w:eastAsia="ja-JP" w:bidi="hi-IN"/>
        </w:rPr>
        <w:t>3</w:t>
      </w:r>
      <w:r w:rsidRPr="00E04805">
        <w:rPr>
          <w:b/>
          <w:bCs/>
          <w:lang w:eastAsia="ja-JP" w:bidi="hi-IN"/>
        </w:rPr>
        <w:t>: potential handover issue due to the sudden degraded serving cell quality for UE moving toward the serving beam in uni-directional deployment can be solved by proper Network configuration: either through setting correct threshold to perform HO earlier, or by using Conditional HO.</w:t>
      </w:r>
    </w:p>
    <w:p w14:paraId="37845617" w14:textId="340026A7" w:rsidR="00622C25" w:rsidRPr="00741752" w:rsidRDefault="00741752" w:rsidP="00622C25">
      <w:pPr>
        <w:rPr>
          <w:lang w:eastAsia="ja-JP" w:bidi="hi-IN"/>
        </w:rPr>
      </w:pPr>
      <w:r>
        <w:rPr>
          <w:b/>
          <w:bCs/>
          <w:lang w:val="en-US" w:eastAsia="ja-JP" w:bidi="hi-IN"/>
        </w:rPr>
        <w:t>Proposal 2</w:t>
      </w:r>
      <w:r w:rsidRPr="00622C25">
        <w:rPr>
          <w:b/>
          <w:bCs/>
          <w:lang w:val="en-US" w:eastAsia="ja-JP" w:bidi="hi-IN"/>
        </w:rPr>
        <w:t>:</w:t>
      </w:r>
      <w:r>
        <w:rPr>
          <w:b/>
          <w:bCs/>
          <w:lang w:val="en-US" w:eastAsia="ja-JP" w:bidi="hi-IN"/>
        </w:rPr>
        <w:t xml:space="preserve"> </w:t>
      </w:r>
      <w:r>
        <w:rPr>
          <w:rFonts w:ascii="Times-Roman" w:hAnsi="Times-Roman"/>
          <w:b/>
          <w:bCs/>
          <w:lang w:val="en-US"/>
        </w:rPr>
        <w:t xml:space="preserve">For </w:t>
      </w:r>
      <w:r>
        <w:rPr>
          <w:b/>
        </w:rPr>
        <w:t>uni-directional Scenario-B</w:t>
      </w:r>
      <w:r>
        <w:rPr>
          <w:rFonts w:ascii="Times-Roman" w:hAnsi="Times-Roman"/>
          <w:b/>
          <w:bCs/>
          <w:lang w:val="en-US"/>
        </w:rPr>
        <w:t xml:space="preserve"> deployment RAN4 to </w:t>
      </w:r>
      <w:r w:rsidRPr="005B2C41">
        <w:rPr>
          <w:rFonts w:ascii="Times-Roman" w:hAnsi="Times-Roman"/>
          <w:b/>
          <w:bCs/>
          <w:lang w:val="en-US"/>
        </w:rPr>
        <w:t xml:space="preserve">consider </w:t>
      </w:r>
      <w:r>
        <w:rPr>
          <w:rFonts w:ascii="Times-Roman" w:hAnsi="Times-Roman"/>
          <w:b/>
          <w:bCs/>
          <w:lang w:val="en-US"/>
        </w:rPr>
        <w:t>1</w:t>
      </w:r>
      <w:r w:rsidRPr="005B2C41">
        <w:rPr>
          <w:rFonts w:ascii="Times-Roman" w:hAnsi="Times-Roman"/>
          <w:b/>
          <w:bCs/>
          <w:lang w:val="en-US"/>
        </w:rPr>
        <w:t xml:space="preserve"> </w:t>
      </w:r>
      <w:r>
        <w:rPr>
          <w:rFonts w:ascii="Times-Roman" w:hAnsi="Times-Roman"/>
          <w:b/>
          <w:bCs/>
          <w:lang w:val="en-US"/>
        </w:rPr>
        <w:t>beam per UE</w:t>
      </w:r>
      <w:r w:rsidRPr="005B2C41">
        <w:rPr>
          <w:rFonts w:ascii="Times-Roman" w:hAnsi="Times-Roman"/>
          <w:b/>
          <w:bCs/>
          <w:lang w:val="en-US"/>
        </w:rPr>
        <w:t xml:space="preserve"> </w:t>
      </w:r>
      <w:r>
        <w:rPr>
          <w:rFonts w:ascii="Times-Roman" w:hAnsi="Times-Roman"/>
          <w:b/>
          <w:bCs/>
          <w:lang w:val="en-US"/>
        </w:rPr>
        <w:t>panel and 2 beams per RRH panel.</w:t>
      </w:r>
    </w:p>
    <w:p w14:paraId="0F869E2E" w14:textId="77777777" w:rsidR="00F01182" w:rsidRPr="00146B4F" w:rsidRDefault="00F01182" w:rsidP="00F01182">
      <w:pPr>
        <w:pStyle w:val="Heading1"/>
      </w:pPr>
      <w:r w:rsidRPr="00146B4F">
        <w:lastRenderedPageBreak/>
        <w:t>References</w:t>
      </w:r>
    </w:p>
    <w:p w14:paraId="041D9034" w14:textId="32B08BF6" w:rsidR="008B6914" w:rsidRDefault="00AD511C" w:rsidP="00AD511C">
      <w:pPr>
        <w:widowControl w:val="0"/>
        <w:numPr>
          <w:ilvl w:val="0"/>
          <w:numId w:val="1"/>
        </w:numPr>
        <w:jc w:val="both"/>
        <w:rPr>
          <w:lang w:val="en-US"/>
        </w:rPr>
      </w:pPr>
      <w:bookmarkStart w:id="5" w:name="_Hlk71676486"/>
      <w:r w:rsidRPr="00CC5DB4">
        <w:t>R4-2106100 “WF on FR2 HST Deployment Scenario Analysis”, Samsung, RAN4 #98-bis-e, April, 2021</w:t>
      </w:r>
    </w:p>
    <w:p w14:paraId="39F61CF5" w14:textId="74A0E37D" w:rsidR="00AD511C" w:rsidRDefault="001672D9" w:rsidP="007A0D48">
      <w:pPr>
        <w:widowControl w:val="0"/>
        <w:numPr>
          <w:ilvl w:val="0"/>
          <w:numId w:val="1"/>
        </w:numPr>
        <w:textAlignment w:val="auto"/>
      </w:pPr>
      <w:bookmarkStart w:id="6" w:name="_Hlk79101103"/>
      <w:bookmarkEnd w:id="5"/>
      <w:r>
        <w:rPr>
          <w:lang w:val="en-US"/>
        </w:rPr>
        <w:t>R4-</w:t>
      </w:r>
      <w:r w:rsidR="00966C02" w:rsidRPr="00966C02">
        <w:rPr>
          <w:lang w:val="en-US"/>
        </w:rPr>
        <w:t xml:space="preserve">2110953 </w:t>
      </w:r>
      <w:r>
        <w:rPr>
          <w:lang w:val="en-US"/>
        </w:rPr>
        <w:t>“</w:t>
      </w:r>
      <w:r w:rsidRPr="001672D9">
        <w:rPr>
          <w:lang w:val="en-US"/>
        </w:rPr>
        <w:t>Discussion on Scenario-</w:t>
      </w:r>
      <w:r w:rsidR="00EF7C85">
        <w:rPr>
          <w:lang w:val="en-US"/>
        </w:rPr>
        <w:t>A</w:t>
      </w:r>
      <w:r w:rsidRPr="001672D9">
        <w:rPr>
          <w:lang w:val="en-US"/>
        </w:rPr>
        <w:t xml:space="preserve"> deployment aspects</w:t>
      </w:r>
      <w:r>
        <w:rPr>
          <w:lang w:val="en-US"/>
        </w:rPr>
        <w:t xml:space="preserve">”, </w:t>
      </w:r>
      <w:r w:rsidRPr="00B40F24">
        <w:t>Intel Corporation</w:t>
      </w:r>
      <w:r>
        <w:t>,</w:t>
      </w:r>
      <w:r w:rsidRPr="00564196">
        <w:t xml:space="preserve"> </w:t>
      </w:r>
      <w:r w:rsidRPr="00CC5DB4">
        <w:t>RAN4 #9</w:t>
      </w:r>
      <w:r w:rsidR="007A0D48">
        <w:t>9</w:t>
      </w:r>
      <w:r w:rsidRPr="00CC5DB4">
        <w:t xml:space="preserve">-e, </w:t>
      </w:r>
      <w:r w:rsidR="007A0D48">
        <w:t>May</w:t>
      </w:r>
      <w:r w:rsidRPr="00CC5DB4">
        <w:t>, 2021</w:t>
      </w:r>
    </w:p>
    <w:p w14:paraId="7151B81F" w14:textId="3932B74D" w:rsidR="0044696A" w:rsidRDefault="0044696A" w:rsidP="0044696A">
      <w:pPr>
        <w:widowControl w:val="0"/>
        <w:numPr>
          <w:ilvl w:val="0"/>
          <w:numId w:val="1"/>
        </w:numPr>
        <w:textAlignment w:val="auto"/>
      </w:pPr>
      <w:r>
        <w:rPr>
          <w:lang w:val="en-US"/>
        </w:rPr>
        <w:t>R4-</w:t>
      </w:r>
      <w:r w:rsidR="00966C02" w:rsidRPr="00966C02">
        <w:rPr>
          <w:lang w:val="en-US"/>
        </w:rPr>
        <w:t>2110952</w:t>
      </w:r>
      <w:r w:rsidR="00966C02" w:rsidRPr="00966C02">
        <w:rPr>
          <w:color w:val="FF0000"/>
          <w:lang w:val="en-US"/>
        </w:rPr>
        <w:t xml:space="preserve"> </w:t>
      </w:r>
      <w:r>
        <w:rPr>
          <w:lang w:val="en-US"/>
        </w:rPr>
        <w:t>“</w:t>
      </w:r>
      <w:r w:rsidRPr="001672D9">
        <w:rPr>
          <w:lang w:val="en-US"/>
        </w:rPr>
        <w:t>Discussion on Scenario-</w:t>
      </w:r>
      <w:r w:rsidR="00EF7C85">
        <w:rPr>
          <w:lang w:val="en-US"/>
        </w:rPr>
        <w:t>B</w:t>
      </w:r>
      <w:r w:rsidRPr="001672D9">
        <w:rPr>
          <w:lang w:val="en-US"/>
        </w:rPr>
        <w:t xml:space="preserve"> deployment aspects</w:t>
      </w:r>
      <w:r>
        <w:rPr>
          <w:lang w:val="en-US"/>
        </w:rPr>
        <w:t xml:space="preserve">”, </w:t>
      </w:r>
      <w:r w:rsidRPr="00B40F24">
        <w:t>Intel Corporation</w:t>
      </w:r>
      <w:r>
        <w:t>,</w:t>
      </w:r>
      <w:r w:rsidRPr="00564196">
        <w:t xml:space="preserve"> </w:t>
      </w:r>
      <w:r w:rsidRPr="00CC5DB4">
        <w:t>RAN4 #9</w:t>
      </w:r>
      <w:r>
        <w:t>9</w:t>
      </w:r>
      <w:r w:rsidRPr="00CC5DB4">
        <w:t xml:space="preserve">-e, </w:t>
      </w:r>
      <w:r>
        <w:t>May</w:t>
      </w:r>
      <w:r w:rsidRPr="00CC5DB4">
        <w:t>, 2021</w:t>
      </w:r>
      <w:bookmarkEnd w:id="6"/>
    </w:p>
    <w:p w14:paraId="59F0318C" w14:textId="452652D5" w:rsidR="00EF7C85" w:rsidRDefault="00E35DEC" w:rsidP="00EF7C85">
      <w:pPr>
        <w:widowControl w:val="0"/>
        <w:numPr>
          <w:ilvl w:val="0"/>
          <w:numId w:val="1"/>
        </w:numPr>
        <w:textAlignment w:val="auto"/>
      </w:pPr>
      <w:r w:rsidRPr="00E35DEC">
        <w:rPr>
          <w:lang w:val="en-US"/>
        </w:rPr>
        <w:t>R4-2114187</w:t>
      </w:r>
      <w:r w:rsidRPr="00E35DEC">
        <w:rPr>
          <w:lang w:val="en-US"/>
        </w:rPr>
        <w:t xml:space="preserve"> </w:t>
      </w:r>
      <w:r w:rsidR="00BF1ABF">
        <w:rPr>
          <w:lang w:val="en-US"/>
        </w:rPr>
        <w:t>“</w:t>
      </w:r>
      <w:r w:rsidR="00BF1ABF" w:rsidRPr="00BF1ABF">
        <w:t>Discussion on timing requirements for HST FR2</w:t>
      </w:r>
      <w:r w:rsidR="00BF1ABF">
        <w:t xml:space="preserve">”, </w:t>
      </w:r>
      <w:r w:rsidR="00BF1ABF" w:rsidRPr="00B40F24">
        <w:t>Intel Corporation</w:t>
      </w:r>
      <w:r w:rsidR="00BF1ABF">
        <w:t>,</w:t>
      </w:r>
      <w:r w:rsidR="00BF1ABF" w:rsidRPr="00564196">
        <w:t xml:space="preserve"> </w:t>
      </w:r>
      <w:r w:rsidR="00BF1ABF" w:rsidRPr="00CC5DB4">
        <w:t>RAN4 #</w:t>
      </w:r>
      <w:r w:rsidR="00BF1ABF">
        <w:t>100</w:t>
      </w:r>
      <w:r w:rsidR="00BF1ABF" w:rsidRPr="00CC5DB4">
        <w:t xml:space="preserve">-e, </w:t>
      </w:r>
      <w:r w:rsidR="00BF1ABF">
        <w:t>August</w:t>
      </w:r>
      <w:r w:rsidR="00BF1ABF" w:rsidRPr="00CC5DB4">
        <w:t>, 2021</w:t>
      </w:r>
    </w:p>
    <w:p w14:paraId="3C089303" w14:textId="6293C4C2" w:rsidR="00EF7C85" w:rsidRDefault="00EF7C85" w:rsidP="00EF7C85">
      <w:pPr>
        <w:widowControl w:val="0"/>
        <w:numPr>
          <w:ilvl w:val="0"/>
          <w:numId w:val="1"/>
        </w:numPr>
        <w:textAlignment w:val="auto"/>
      </w:pPr>
      <w:r w:rsidRPr="00B40F24">
        <w:t xml:space="preserve">R4-2101267 </w:t>
      </w:r>
      <w:r w:rsidRPr="00564196">
        <w:t>“</w:t>
      </w:r>
      <w:r w:rsidRPr="00B40F24">
        <w:t>Deployment scenarios for HST in FR2</w:t>
      </w:r>
      <w:r w:rsidRPr="00564196">
        <w:t xml:space="preserve">”, </w:t>
      </w:r>
      <w:r w:rsidRPr="00B40F24">
        <w:t>Intel Corporation</w:t>
      </w:r>
      <w:r>
        <w:t>,</w:t>
      </w:r>
      <w:r w:rsidRPr="00564196">
        <w:t xml:space="preserve"> RAN</w:t>
      </w:r>
      <w:r>
        <w:t>4</w:t>
      </w:r>
      <w:r w:rsidRPr="00564196">
        <w:t xml:space="preserve"> #</w:t>
      </w:r>
      <w:r>
        <w:t>98</w:t>
      </w:r>
      <w:r w:rsidRPr="00564196">
        <w:t xml:space="preserve">e, </w:t>
      </w:r>
      <w:r w:rsidRPr="00B40F24">
        <w:t>25th Jan. – 05th Feb. 2021</w:t>
      </w:r>
    </w:p>
    <w:p w14:paraId="4DB58A35" w14:textId="6121BE21" w:rsidR="00EF7C85" w:rsidRPr="007A0D48" w:rsidRDefault="00EF7C85" w:rsidP="00EF7C85">
      <w:pPr>
        <w:widowControl w:val="0"/>
        <w:numPr>
          <w:ilvl w:val="0"/>
          <w:numId w:val="1"/>
        </w:numPr>
        <w:textAlignment w:val="auto"/>
      </w:pPr>
      <w:r w:rsidRPr="00CC5DB4">
        <w:rPr>
          <w:lang w:val="en-US"/>
        </w:rPr>
        <w:t>R4-2106503</w:t>
      </w:r>
      <w:r>
        <w:rPr>
          <w:lang w:val="en-US"/>
        </w:rPr>
        <w:t xml:space="preserve"> “</w:t>
      </w:r>
      <w:r w:rsidRPr="00CC5DB4">
        <w:rPr>
          <w:lang w:val="en-US"/>
        </w:rPr>
        <w:t>Discussion on FR2 HST deployment aspects</w:t>
      </w:r>
      <w:r>
        <w:rPr>
          <w:lang w:val="en-US"/>
        </w:rPr>
        <w:t>”,</w:t>
      </w:r>
      <w:r w:rsidRPr="00CC5DB4">
        <w:t xml:space="preserve"> </w:t>
      </w:r>
      <w:r w:rsidRPr="00B40F24">
        <w:t>Intel Corporation</w:t>
      </w:r>
      <w:r>
        <w:t>,</w:t>
      </w:r>
      <w:r w:rsidRPr="00564196">
        <w:t xml:space="preserve"> </w:t>
      </w:r>
      <w:r w:rsidRPr="00CC5DB4">
        <w:t>RAN4 #98-bis-e, April, 2021</w:t>
      </w:r>
    </w:p>
    <w:sectPr w:rsidR="00EF7C85" w:rsidRPr="007A0D48" w:rsidSect="00F0118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8A2A3" w14:textId="77777777" w:rsidR="002A1E15" w:rsidRDefault="002A1E15" w:rsidP="00F01182">
      <w:pPr>
        <w:spacing w:before="0" w:after="0"/>
      </w:pPr>
      <w:r>
        <w:separator/>
      </w:r>
    </w:p>
  </w:endnote>
  <w:endnote w:type="continuationSeparator" w:id="0">
    <w:p w14:paraId="393CFA70" w14:textId="77777777" w:rsidR="002A1E15" w:rsidRDefault="002A1E15"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2A1E15" w:rsidRDefault="002A1E15" w:rsidP="002A1E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2A1E15" w:rsidRDefault="002A1E15" w:rsidP="002A1E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2A1E15" w:rsidRPr="00DB1239" w:rsidRDefault="002A1E15" w:rsidP="002A1E15">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2A1E15" w:rsidRDefault="002A1E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AEDAC" w14:textId="77777777" w:rsidR="002A1E15" w:rsidRDefault="002A1E15" w:rsidP="00F01182">
      <w:pPr>
        <w:spacing w:before="0" w:after="0"/>
      </w:pPr>
      <w:r>
        <w:separator/>
      </w:r>
    </w:p>
  </w:footnote>
  <w:footnote w:type="continuationSeparator" w:id="0">
    <w:p w14:paraId="04609E55" w14:textId="77777777" w:rsidR="002A1E15" w:rsidRDefault="002A1E15"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2A1E15" w:rsidRDefault="002A1E1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2A1E15" w:rsidRDefault="002A1E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2A1E15" w:rsidRDefault="002A1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F227997"/>
    <w:multiLevelType w:val="hybridMultilevel"/>
    <w:tmpl w:val="B5005126"/>
    <w:lvl w:ilvl="0" w:tplc="B024EA2E">
      <w:start w:val="1"/>
      <w:numFmt w:val="bullet"/>
      <w:lvlText w:val="o"/>
      <w:lvlJc w:val="left"/>
      <w:pPr>
        <w:tabs>
          <w:tab w:val="num" w:pos="720"/>
        </w:tabs>
        <w:ind w:left="720" w:hanging="360"/>
      </w:pPr>
      <w:rPr>
        <w:rFonts w:ascii="Courier New" w:hAnsi="Courier New" w:hint="default"/>
      </w:rPr>
    </w:lvl>
    <w:lvl w:ilvl="1" w:tplc="8A50B89E">
      <w:start w:val="1"/>
      <w:numFmt w:val="bullet"/>
      <w:lvlText w:val="o"/>
      <w:lvlJc w:val="left"/>
      <w:pPr>
        <w:tabs>
          <w:tab w:val="num" w:pos="1440"/>
        </w:tabs>
        <w:ind w:left="1440" w:hanging="360"/>
      </w:pPr>
      <w:rPr>
        <w:rFonts w:ascii="Courier New" w:hAnsi="Courier New" w:hint="default"/>
      </w:rPr>
    </w:lvl>
    <w:lvl w:ilvl="2" w:tplc="3DEE43BE">
      <w:numFmt w:val="bullet"/>
      <w:lvlText w:val="•"/>
      <w:lvlJc w:val="left"/>
      <w:pPr>
        <w:tabs>
          <w:tab w:val="num" w:pos="2160"/>
        </w:tabs>
        <w:ind w:left="2160" w:hanging="360"/>
      </w:pPr>
      <w:rPr>
        <w:rFonts w:ascii="Arial" w:hAnsi="Arial" w:hint="default"/>
      </w:rPr>
    </w:lvl>
    <w:lvl w:ilvl="3" w:tplc="27AA30E0">
      <w:numFmt w:val="bullet"/>
      <w:lvlText w:val="•"/>
      <w:lvlJc w:val="left"/>
      <w:pPr>
        <w:tabs>
          <w:tab w:val="num" w:pos="2880"/>
        </w:tabs>
        <w:ind w:left="2880" w:hanging="360"/>
      </w:pPr>
      <w:rPr>
        <w:rFonts w:ascii="Arial" w:hAnsi="Arial" w:hint="default"/>
      </w:rPr>
    </w:lvl>
    <w:lvl w:ilvl="4" w:tplc="52B45C9A" w:tentative="1">
      <w:start w:val="1"/>
      <w:numFmt w:val="bullet"/>
      <w:lvlText w:val="o"/>
      <w:lvlJc w:val="left"/>
      <w:pPr>
        <w:tabs>
          <w:tab w:val="num" w:pos="3600"/>
        </w:tabs>
        <w:ind w:left="3600" w:hanging="360"/>
      </w:pPr>
      <w:rPr>
        <w:rFonts w:ascii="Courier New" w:hAnsi="Courier New" w:hint="default"/>
      </w:rPr>
    </w:lvl>
    <w:lvl w:ilvl="5" w:tplc="D5DA9C1C" w:tentative="1">
      <w:start w:val="1"/>
      <w:numFmt w:val="bullet"/>
      <w:lvlText w:val="o"/>
      <w:lvlJc w:val="left"/>
      <w:pPr>
        <w:tabs>
          <w:tab w:val="num" w:pos="4320"/>
        </w:tabs>
        <w:ind w:left="4320" w:hanging="360"/>
      </w:pPr>
      <w:rPr>
        <w:rFonts w:ascii="Courier New" w:hAnsi="Courier New" w:hint="default"/>
      </w:rPr>
    </w:lvl>
    <w:lvl w:ilvl="6" w:tplc="5C6C1A0E" w:tentative="1">
      <w:start w:val="1"/>
      <w:numFmt w:val="bullet"/>
      <w:lvlText w:val="o"/>
      <w:lvlJc w:val="left"/>
      <w:pPr>
        <w:tabs>
          <w:tab w:val="num" w:pos="5040"/>
        </w:tabs>
        <w:ind w:left="5040" w:hanging="360"/>
      </w:pPr>
      <w:rPr>
        <w:rFonts w:ascii="Courier New" w:hAnsi="Courier New" w:hint="default"/>
      </w:rPr>
    </w:lvl>
    <w:lvl w:ilvl="7" w:tplc="070488C8" w:tentative="1">
      <w:start w:val="1"/>
      <w:numFmt w:val="bullet"/>
      <w:lvlText w:val="o"/>
      <w:lvlJc w:val="left"/>
      <w:pPr>
        <w:tabs>
          <w:tab w:val="num" w:pos="5760"/>
        </w:tabs>
        <w:ind w:left="5760" w:hanging="360"/>
      </w:pPr>
      <w:rPr>
        <w:rFonts w:ascii="Courier New" w:hAnsi="Courier New" w:hint="default"/>
      </w:rPr>
    </w:lvl>
    <w:lvl w:ilvl="8" w:tplc="DA04624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362D0952"/>
    <w:multiLevelType w:val="hybridMultilevel"/>
    <w:tmpl w:val="804C82A0"/>
    <w:lvl w:ilvl="0" w:tplc="AAEEFA1A">
      <w:start w:val="1"/>
      <w:numFmt w:val="bullet"/>
      <w:lvlText w:val=""/>
      <w:lvlJc w:val="left"/>
      <w:pPr>
        <w:tabs>
          <w:tab w:val="num" w:pos="720"/>
        </w:tabs>
        <w:ind w:left="720" w:hanging="360"/>
      </w:pPr>
      <w:rPr>
        <w:rFonts w:ascii="Wingdings" w:hAnsi="Wingdings" w:hint="default"/>
      </w:rPr>
    </w:lvl>
    <w:lvl w:ilvl="1" w:tplc="5CD0F0BE">
      <w:start w:val="1"/>
      <w:numFmt w:val="bullet"/>
      <w:lvlText w:val=""/>
      <w:lvlJc w:val="left"/>
      <w:pPr>
        <w:tabs>
          <w:tab w:val="num" w:pos="1440"/>
        </w:tabs>
        <w:ind w:left="1440" w:hanging="360"/>
      </w:pPr>
      <w:rPr>
        <w:rFonts w:ascii="Wingdings" w:hAnsi="Wingdings" w:hint="default"/>
      </w:rPr>
    </w:lvl>
    <w:lvl w:ilvl="2" w:tplc="4E42C7D2">
      <w:numFmt w:val="bullet"/>
      <w:lvlText w:val="o"/>
      <w:lvlJc w:val="left"/>
      <w:pPr>
        <w:tabs>
          <w:tab w:val="num" w:pos="2160"/>
        </w:tabs>
        <w:ind w:left="2160" w:hanging="360"/>
      </w:pPr>
      <w:rPr>
        <w:rFonts w:ascii="Courier New" w:hAnsi="Courier New" w:hint="default"/>
      </w:rPr>
    </w:lvl>
    <w:lvl w:ilvl="3" w:tplc="7E261EE8">
      <w:numFmt w:val="bullet"/>
      <w:lvlText w:val="o"/>
      <w:lvlJc w:val="left"/>
      <w:pPr>
        <w:tabs>
          <w:tab w:val="num" w:pos="2880"/>
        </w:tabs>
        <w:ind w:left="2880" w:hanging="360"/>
      </w:pPr>
      <w:rPr>
        <w:rFonts w:ascii="Courier New" w:hAnsi="Courier New" w:hint="default"/>
      </w:rPr>
    </w:lvl>
    <w:lvl w:ilvl="4" w:tplc="FBCC6670" w:tentative="1">
      <w:start w:val="1"/>
      <w:numFmt w:val="bullet"/>
      <w:lvlText w:val=""/>
      <w:lvlJc w:val="left"/>
      <w:pPr>
        <w:tabs>
          <w:tab w:val="num" w:pos="3600"/>
        </w:tabs>
        <w:ind w:left="3600" w:hanging="360"/>
      </w:pPr>
      <w:rPr>
        <w:rFonts w:ascii="Wingdings" w:hAnsi="Wingdings" w:hint="default"/>
      </w:rPr>
    </w:lvl>
    <w:lvl w:ilvl="5" w:tplc="30B4DD9E" w:tentative="1">
      <w:start w:val="1"/>
      <w:numFmt w:val="bullet"/>
      <w:lvlText w:val=""/>
      <w:lvlJc w:val="left"/>
      <w:pPr>
        <w:tabs>
          <w:tab w:val="num" w:pos="4320"/>
        </w:tabs>
        <w:ind w:left="4320" w:hanging="360"/>
      </w:pPr>
      <w:rPr>
        <w:rFonts w:ascii="Wingdings" w:hAnsi="Wingdings" w:hint="default"/>
      </w:rPr>
    </w:lvl>
    <w:lvl w:ilvl="6" w:tplc="915C1468" w:tentative="1">
      <w:start w:val="1"/>
      <w:numFmt w:val="bullet"/>
      <w:lvlText w:val=""/>
      <w:lvlJc w:val="left"/>
      <w:pPr>
        <w:tabs>
          <w:tab w:val="num" w:pos="5040"/>
        </w:tabs>
        <w:ind w:left="5040" w:hanging="360"/>
      </w:pPr>
      <w:rPr>
        <w:rFonts w:ascii="Wingdings" w:hAnsi="Wingdings" w:hint="default"/>
      </w:rPr>
    </w:lvl>
    <w:lvl w:ilvl="7" w:tplc="56F8FA8E" w:tentative="1">
      <w:start w:val="1"/>
      <w:numFmt w:val="bullet"/>
      <w:lvlText w:val=""/>
      <w:lvlJc w:val="left"/>
      <w:pPr>
        <w:tabs>
          <w:tab w:val="num" w:pos="5760"/>
        </w:tabs>
        <w:ind w:left="5760" w:hanging="360"/>
      </w:pPr>
      <w:rPr>
        <w:rFonts w:ascii="Wingdings" w:hAnsi="Wingdings" w:hint="default"/>
      </w:rPr>
    </w:lvl>
    <w:lvl w:ilvl="8" w:tplc="A2704E8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9E52D1"/>
    <w:multiLevelType w:val="hybridMultilevel"/>
    <w:tmpl w:val="B3703CF2"/>
    <w:lvl w:ilvl="0" w:tplc="58CAA662">
      <w:start w:val="1"/>
      <w:numFmt w:val="bullet"/>
      <w:lvlText w:val=""/>
      <w:lvlJc w:val="left"/>
      <w:pPr>
        <w:tabs>
          <w:tab w:val="num" w:pos="720"/>
        </w:tabs>
        <w:ind w:left="720" w:hanging="360"/>
      </w:pPr>
      <w:rPr>
        <w:rFonts w:ascii="Wingdings" w:hAnsi="Wingdings" w:hint="default"/>
      </w:rPr>
    </w:lvl>
    <w:lvl w:ilvl="1" w:tplc="A8C62CC2">
      <w:numFmt w:val="bullet"/>
      <w:lvlText w:val="o"/>
      <w:lvlJc w:val="left"/>
      <w:pPr>
        <w:tabs>
          <w:tab w:val="num" w:pos="1440"/>
        </w:tabs>
        <w:ind w:left="1440" w:hanging="360"/>
      </w:pPr>
      <w:rPr>
        <w:rFonts w:ascii="Courier New" w:hAnsi="Courier New" w:hint="default"/>
      </w:rPr>
    </w:lvl>
    <w:lvl w:ilvl="2" w:tplc="66DEB7F6" w:tentative="1">
      <w:start w:val="1"/>
      <w:numFmt w:val="bullet"/>
      <w:lvlText w:val=""/>
      <w:lvlJc w:val="left"/>
      <w:pPr>
        <w:tabs>
          <w:tab w:val="num" w:pos="2160"/>
        </w:tabs>
        <w:ind w:left="2160" w:hanging="360"/>
      </w:pPr>
      <w:rPr>
        <w:rFonts w:ascii="Wingdings" w:hAnsi="Wingdings" w:hint="default"/>
      </w:rPr>
    </w:lvl>
    <w:lvl w:ilvl="3" w:tplc="F0D6E7DE" w:tentative="1">
      <w:start w:val="1"/>
      <w:numFmt w:val="bullet"/>
      <w:lvlText w:val=""/>
      <w:lvlJc w:val="left"/>
      <w:pPr>
        <w:tabs>
          <w:tab w:val="num" w:pos="2880"/>
        </w:tabs>
        <w:ind w:left="2880" w:hanging="360"/>
      </w:pPr>
      <w:rPr>
        <w:rFonts w:ascii="Wingdings" w:hAnsi="Wingdings" w:hint="default"/>
      </w:rPr>
    </w:lvl>
    <w:lvl w:ilvl="4" w:tplc="AF7470EC" w:tentative="1">
      <w:start w:val="1"/>
      <w:numFmt w:val="bullet"/>
      <w:lvlText w:val=""/>
      <w:lvlJc w:val="left"/>
      <w:pPr>
        <w:tabs>
          <w:tab w:val="num" w:pos="3600"/>
        </w:tabs>
        <w:ind w:left="3600" w:hanging="360"/>
      </w:pPr>
      <w:rPr>
        <w:rFonts w:ascii="Wingdings" w:hAnsi="Wingdings" w:hint="default"/>
      </w:rPr>
    </w:lvl>
    <w:lvl w:ilvl="5" w:tplc="6AA478C2" w:tentative="1">
      <w:start w:val="1"/>
      <w:numFmt w:val="bullet"/>
      <w:lvlText w:val=""/>
      <w:lvlJc w:val="left"/>
      <w:pPr>
        <w:tabs>
          <w:tab w:val="num" w:pos="4320"/>
        </w:tabs>
        <w:ind w:left="4320" w:hanging="360"/>
      </w:pPr>
      <w:rPr>
        <w:rFonts w:ascii="Wingdings" w:hAnsi="Wingdings" w:hint="default"/>
      </w:rPr>
    </w:lvl>
    <w:lvl w:ilvl="6" w:tplc="3D065B8C" w:tentative="1">
      <w:start w:val="1"/>
      <w:numFmt w:val="bullet"/>
      <w:lvlText w:val=""/>
      <w:lvlJc w:val="left"/>
      <w:pPr>
        <w:tabs>
          <w:tab w:val="num" w:pos="5040"/>
        </w:tabs>
        <w:ind w:left="5040" w:hanging="360"/>
      </w:pPr>
      <w:rPr>
        <w:rFonts w:ascii="Wingdings" w:hAnsi="Wingdings" w:hint="default"/>
      </w:rPr>
    </w:lvl>
    <w:lvl w:ilvl="7" w:tplc="7C228E0C" w:tentative="1">
      <w:start w:val="1"/>
      <w:numFmt w:val="bullet"/>
      <w:lvlText w:val=""/>
      <w:lvlJc w:val="left"/>
      <w:pPr>
        <w:tabs>
          <w:tab w:val="num" w:pos="5760"/>
        </w:tabs>
        <w:ind w:left="5760" w:hanging="360"/>
      </w:pPr>
      <w:rPr>
        <w:rFonts w:ascii="Wingdings" w:hAnsi="Wingdings" w:hint="default"/>
      </w:rPr>
    </w:lvl>
    <w:lvl w:ilvl="8" w:tplc="E232531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973010"/>
    <w:multiLevelType w:val="hybridMultilevel"/>
    <w:tmpl w:val="40BE467C"/>
    <w:lvl w:ilvl="0" w:tplc="5D04F6A0">
      <w:start w:val="1"/>
      <w:numFmt w:val="bullet"/>
      <w:lvlText w:val="o"/>
      <w:lvlJc w:val="left"/>
      <w:pPr>
        <w:tabs>
          <w:tab w:val="num" w:pos="720"/>
        </w:tabs>
        <w:ind w:left="720" w:hanging="360"/>
      </w:pPr>
      <w:rPr>
        <w:rFonts w:ascii="Courier New" w:hAnsi="Courier New" w:hint="default"/>
      </w:rPr>
    </w:lvl>
    <w:lvl w:ilvl="1" w:tplc="0738468A">
      <w:start w:val="1"/>
      <w:numFmt w:val="bullet"/>
      <w:lvlText w:val="o"/>
      <w:lvlJc w:val="left"/>
      <w:pPr>
        <w:tabs>
          <w:tab w:val="num" w:pos="1440"/>
        </w:tabs>
        <w:ind w:left="1440" w:hanging="360"/>
      </w:pPr>
      <w:rPr>
        <w:rFonts w:ascii="Courier New" w:hAnsi="Courier New" w:hint="default"/>
      </w:rPr>
    </w:lvl>
    <w:lvl w:ilvl="2" w:tplc="B26C663E">
      <w:numFmt w:val="bullet"/>
      <w:lvlText w:val="•"/>
      <w:lvlJc w:val="left"/>
      <w:pPr>
        <w:tabs>
          <w:tab w:val="num" w:pos="2160"/>
        </w:tabs>
        <w:ind w:left="2160" w:hanging="360"/>
      </w:pPr>
      <w:rPr>
        <w:rFonts w:ascii="Arial" w:hAnsi="Arial" w:hint="default"/>
      </w:rPr>
    </w:lvl>
    <w:lvl w:ilvl="3" w:tplc="CE2E3A8E">
      <w:numFmt w:val="bullet"/>
      <w:lvlText w:val="•"/>
      <w:lvlJc w:val="left"/>
      <w:pPr>
        <w:tabs>
          <w:tab w:val="num" w:pos="2880"/>
        </w:tabs>
        <w:ind w:left="2880" w:hanging="360"/>
      </w:pPr>
      <w:rPr>
        <w:rFonts w:ascii="Arial" w:hAnsi="Arial" w:hint="default"/>
      </w:rPr>
    </w:lvl>
    <w:lvl w:ilvl="4" w:tplc="AB1493CC" w:tentative="1">
      <w:start w:val="1"/>
      <w:numFmt w:val="bullet"/>
      <w:lvlText w:val="o"/>
      <w:lvlJc w:val="left"/>
      <w:pPr>
        <w:tabs>
          <w:tab w:val="num" w:pos="3600"/>
        </w:tabs>
        <w:ind w:left="3600" w:hanging="360"/>
      </w:pPr>
      <w:rPr>
        <w:rFonts w:ascii="Courier New" w:hAnsi="Courier New" w:hint="default"/>
      </w:rPr>
    </w:lvl>
    <w:lvl w:ilvl="5" w:tplc="79BA4A64" w:tentative="1">
      <w:start w:val="1"/>
      <w:numFmt w:val="bullet"/>
      <w:lvlText w:val="o"/>
      <w:lvlJc w:val="left"/>
      <w:pPr>
        <w:tabs>
          <w:tab w:val="num" w:pos="4320"/>
        </w:tabs>
        <w:ind w:left="4320" w:hanging="360"/>
      </w:pPr>
      <w:rPr>
        <w:rFonts w:ascii="Courier New" w:hAnsi="Courier New" w:hint="default"/>
      </w:rPr>
    </w:lvl>
    <w:lvl w:ilvl="6" w:tplc="3BA46008" w:tentative="1">
      <w:start w:val="1"/>
      <w:numFmt w:val="bullet"/>
      <w:lvlText w:val="o"/>
      <w:lvlJc w:val="left"/>
      <w:pPr>
        <w:tabs>
          <w:tab w:val="num" w:pos="5040"/>
        </w:tabs>
        <w:ind w:left="5040" w:hanging="360"/>
      </w:pPr>
      <w:rPr>
        <w:rFonts w:ascii="Courier New" w:hAnsi="Courier New" w:hint="default"/>
      </w:rPr>
    </w:lvl>
    <w:lvl w:ilvl="7" w:tplc="75AA58BC" w:tentative="1">
      <w:start w:val="1"/>
      <w:numFmt w:val="bullet"/>
      <w:lvlText w:val="o"/>
      <w:lvlJc w:val="left"/>
      <w:pPr>
        <w:tabs>
          <w:tab w:val="num" w:pos="5760"/>
        </w:tabs>
        <w:ind w:left="5760" w:hanging="360"/>
      </w:pPr>
      <w:rPr>
        <w:rFonts w:ascii="Courier New" w:hAnsi="Courier New" w:hint="default"/>
      </w:rPr>
    </w:lvl>
    <w:lvl w:ilvl="8" w:tplc="BE3EF100"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5463223B"/>
    <w:multiLevelType w:val="hybridMultilevel"/>
    <w:tmpl w:val="DB280EAC"/>
    <w:lvl w:ilvl="0" w:tplc="1F704C74">
      <w:start w:val="1"/>
      <w:numFmt w:val="bullet"/>
      <w:lvlText w:val=""/>
      <w:lvlJc w:val="left"/>
      <w:pPr>
        <w:tabs>
          <w:tab w:val="num" w:pos="720"/>
        </w:tabs>
        <w:ind w:left="720" w:hanging="360"/>
      </w:pPr>
      <w:rPr>
        <w:rFonts w:ascii="Wingdings" w:hAnsi="Wingdings" w:hint="default"/>
      </w:rPr>
    </w:lvl>
    <w:lvl w:ilvl="1" w:tplc="6316AED2">
      <w:numFmt w:val="bullet"/>
      <w:lvlText w:val="o"/>
      <w:lvlJc w:val="left"/>
      <w:pPr>
        <w:tabs>
          <w:tab w:val="num" w:pos="1440"/>
        </w:tabs>
        <w:ind w:left="1440" w:hanging="360"/>
      </w:pPr>
      <w:rPr>
        <w:rFonts w:ascii="Courier New" w:hAnsi="Courier New" w:hint="default"/>
      </w:rPr>
    </w:lvl>
    <w:lvl w:ilvl="2" w:tplc="5E14AE42">
      <w:numFmt w:val="bullet"/>
      <w:lvlText w:val=""/>
      <w:lvlJc w:val="left"/>
      <w:pPr>
        <w:tabs>
          <w:tab w:val="num" w:pos="2160"/>
        </w:tabs>
        <w:ind w:left="2160" w:hanging="360"/>
      </w:pPr>
      <w:rPr>
        <w:rFonts w:ascii="Wingdings" w:hAnsi="Wingdings" w:hint="default"/>
      </w:rPr>
    </w:lvl>
    <w:lvl w:ilvl="3" w:tplc="CE460368" w:tentative="1">
      <w:start w:val="1"/>
      <w:numFmt w:val="bullet"/>
      <w:lvlText w:val=""/>
      <w:lvlJc w:val="left"/>
      <w:pPr>
        <w:tabs>
          <w:tab w:val="num" w:pos="2880"/>
        </w:tabs>
        <w:ind w:left="2880" w:hanging="360"/>
      </w:pPr>
      <w:rPr>
        <w:rFonts w:ascii="Wingdings" w:hAnsi="Wingdings" w:hint="default"/>
      </w:rPr>
    </w:lvl>
    <w:lvl w:ilvl="4" w:tplc="125CA7A8" w:tentative="1">
      <w:start w:val="1"/>
      <w:numFmt w:val="bullet"/>
      <w:lvlText w:val=""/>
      <w:lvlJc w:val="left"/>
      <w:pPr>
        <w:tabs>
          <w:tab w:val="num" w:pos="3600"/>
        </w:tabs>
        <w:ind w:left="3600" w:hanging="360"/>
      </w:pPr>
      <w:rPr>
        <w:rFonts w:ascii="Wingdings" w:hAnsi="Wingdings" w:hint="default"/>
      </w:rPr>
    </w:lvl>
    <w:lvl w:ilvl="5" w:tplc="85EAE274" w:tentative="1">
      <w:start w:val="1"/>
      <w:numFmt w:val="bullet"/>
      <w:lvlText w:val=""/>
      <w:lvlJc w:val="left"/>
      <w:pPr>
        <w:tabs>
          <w:tab w:val="num" w:pos="4320"/>
        </w:tabs>
        <w:ind w:left="4320" w:hanging="360"/>
      </w:pPr>
      <w:rPr>
        <w:rFonts w:ascii="Wingdings" w:hAnsi="Wingdings" w:hint="default"/>
      </w:rPr>
    </w:lvl>
    <w:lvl w:ilvl="6" w:tplc="24FC5750" w:tentative="1">
      <w:start w:val="1"/>
      <w:numFmt w:val="bullet"/>
      <w:lvlText w:val=""/>
      <w:lvlJc w:val="left"/>
      <w:pPr>
        <w:tabs>
          <w:tab w:val="num" w:pos="5040"/>
        </w:tabs>
        <w:ind w:left="5040" w:hanging="360"/>
      </w:pPr>
      <w:rPr>
        <w:rFonts w:ascii="Wingdings" w:hAnsi="Wingdings" w:hint="default"/>
      </w:rPr>
    </w:lvl>
    <w:lvl w:ilvl="7" w:tplc="EBEEB530" w:tentative="1">
      <w:start w:val="1"/>
      <w:numFmt w:val="bullet"/>
      <w:lvlText w:val=""/>
      <w:lvlJc w:val="left"/>
      <w:pPr>
        <w:tabs>
          <w:tab w:val="num" w:pos="5760"/>
        </w:tabs>
        <w:ind w:left="5760" w:hanging="360"/>
      </w:pPr>
      <w:rPr>
        <w:rFonts w:ascii="Wingdings" w:hAnsi="Wingdings" w:hint="default"/>
      </w:rPr>
    </w:lvl>
    <w:lvl w:ilvl="8" w:tplc="9F6A304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AAD620E"/>
    <w:multiLevelType w:val="hybridMultilevel"/>
    <w:tmpl w:val="090682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EE82A72"/>
    <w:multiLevelType w:val="hybridMultilevel"/>
    <w:tmpl w:val="E40E93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6A371C08"/>
    <w:multiLevelType w:val="hybridMultilevel"/>
    <w:tmpl w:val="0AD03658"/>
    <w:lvl w:ilvl="0" w:tplc="43C8ADE0">
      <w:start w:val="1"/>
      <w:numFmt w:val="bullet"/>
      <w:lvlText w:val=""/>
      <w:lvlJc w:val="left"/>
      <w:pPr>
        <w:tabs>
          <w:tab w:val="num" w:pos="720"/>
        </w:tabs>
        <w:ind w:left="720" w:hanging="360"/>
      </w:pPr>
      <w:rPr>
        <w:rFonts w:ascii="Wingdings" w:hAnsi="Wingdings" w:hint="default"/>
      </w:rPr>
    </w:lvl>
    <w:lvl w:ilvl="1" w:tplc="FDF407E4">
      <w:numFmt w:val="bullet"/>
      <w:lvlText w:val="o"/>
      <w:lvlJc w:val="left"/>
      <w:pPr>
        <w:tabs>
          <w:tab w:val="num" w:pos="1440"/>
        </w:tabs>
        <w:ind w:left="1440" w:hanging="360"/>
      </w:pPr>
      <w:rPr>
        <w:rFonts w:ascii="Courier New" w:hAnsi="Courier New" w:hint="default"/>
      </w:rPr>
    </w:lvl>
    <w:lvl w:ilvl="2" w:tplc="2CD2008A">
      <w:numFmt w:val="bullet"/>
      <w:lvlText w:val="o"/>
      <w:lvlJc w:val="left"/>
      <w:pPr>
        <w:tabs>
          <w:tab w:val="num" w:pos="2160"/>
        </w:tabs>
        <w:ind w:left="2160" w:hanging="360"/>
      </w:pPr>
      <w:rPr>
        <w:rFonts w:ascii="Courier New" w:hAnsi="Courier New" w:hint="default"/>
      </w:rPr>
    </w:lvl>
    <w:lvl w:ilvl="3" w:tplc="E8AA4B50">
      <w:numFmt w:val="bullet"/>
      <w:lvlText w:val="o"/>
      <w:lvlJc w:val="left"/>
      <w:pPr>
        <w:tabs>
          <w:tab w:val="num" w:pos="2880"/>
        </w:tabs>
        <w:ind w:left="2880" w:hanging="360"/>
      </w:pPr>
      <w:rPr>
        <w:rFonts w:ascii="Courier New" w:hAnsi="Courier New" w:hint="default"/>
      </w:rPr>
    </w:lvl>
    <w:lvl w:ilvl="4" w:tplc="8CB8E746" w:tentative="1">
      <w:start w:val="1"/>
      <w:numFmt w:val="bullet"/>
      <w:lvlText w:val=""/>
      <w:lvlJc w:val="left"/>
      <w:pPr>
        <w:tabs>
          <w:tab w:val="num" w:pos="3600"/>
        </w:tabs>
        <w:ind w:left="3600" w:hanging="360"/>
      </w:pPr>
      <w:rPr>
        <w:rFonts w:ascii="Wingdings" w:hAnsi="Wingdings" w:hint="default"/>
      </w:rPr>
    </w:lvl>
    <w:lvl w:ilvl="5" w:tplc="0EBCC626" w:tentative="1">
      <w:start w:val="1"/>
      <w:numFmt w:val="bullet"/>
      <w:lvlText w:val=""/>
      <w:lvlJc w:val="left"/>
      <w:pPr>
        <w:tabs>
          <w:tab w:val="num" w:pos="4320"/>
        </w:tabs>
        <w:ind w:left="4320" w:hanging="360"/>
      </w:pPr>
      <w:rPr>
        <w:rFonts w:ascii="Wingdings" w:hAnsi="Wingdings" w:hint="default"/>
      </w:rPr>
    </w:lvl>
    <w:lvl w:ilvl="6" w:tplc="189A15C6" w:tentative="1">
      <w:start w:val="1"/>
      <w:numFmt w:val="bullet"/>
      <w:lvlText w:val=""/>
      <w:lvlJc w:val="left"/>
      <w:pPr>
        <w:tabs>
          <w:tab w:val="num" w:pos="5040"/>
        </w:tabs>
        <w:ind w:left="5040" w:hanging="360"/>
      </w:pPr>
      <w:rPr>
        <w:rFonts w:ascii="Wingdings" w:hAnsi="Wingdings" w:hint="default"/>
      </w:rPr>
    </w:lvl>
    <w:lvl w:ilvl="7" w:tplc="9410B3A4" w:tentative="1">
      <w:start w:val="1"/>
      <w:numFmt w:val="bullet"/>
      <w:lvlText w:val=""/>
      <w:lvlJc w:val="left"/>
      <w:pPr>
        <w:tabs>
          <w:tab w:val="num" w:pos="5760"/>
        </w:tabs>
        <w:ind w:left="5760" w:hanging="360"/>
      </w:pPr>
      <w:rPr>
        <w:rFonts w:ascii="Wingdings" w:hAnsi="Wingdings" w:hint="default"/>
      </w:rPr>
    </w:lvl>
    <w:lvl w:ilvl="8" w:tplc="51E8B154"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6"/>
  </w:num>
  <w:num w:numId="4">
    <w:abstractNumId w:val="5"/>
  </w:num>
  <w:num w:numId="5">
    <w:abstractNumId w:val="1"/>
  </w:num>
  <w:num w:numId="6">
    <w:abstractNumId w:val="4"/>
  </w:num>
  <w:num w:numId="7">
    <w:abstractNumId w:val="9"/>
  </w:num>
  <w:num w:numId="8">
    <w:abstractNumId w:val="3"/>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defaultTabStop w:val="708"/>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25ABE"/>
    <w:rsid w:val="00096AA2"/>
    <w:rsid w:val="000A531F"/>
    <w:rsid w:val="000C22EA"/>
    <w:rsid w:val="000C591A"/>
    <w:rsid w:val="00140E44"/>
    <w:rsid w:val="0015446B"/>
    <w:rsid w:val="001672D9"/>
    <w:rsid w:val="0021301F"/>
    <w:rsid w:val="0029383D"/>
    <w:rsid w:val="002A1E15"/>
    <w:rsid w:val="002F61C5"/>
    <w:rsid w:val="00323E27"/>
    <w:rsid w:val="0032554B"/>
    <w:rsid w:val="00345C38"/>
    <w:rsid w:val="003B1B63"/>
    <w:rsid w:val="003C767B"/>
    <w:rsid w:val="003C7EE1"/>
    <w:rsid w:val="003D340E"/>
    <w:rsid w:val="003D7DDE"/>
    <w:rsid w:val="003E598B"/>
    <w:rsid w:val="003F1A6D"/>
    <w:rsid w:val="0044696A"/>
    <w:rsid w:val="00463DFB"/>
    <w:rsid w:val="00494A60"/>
    <w:rsid w:val="004A2C7A"/>
    <w:rsid w:val="004A788A"/>
    <w:rsid w:val="004D13CF"/>
    <w:rsid w:val="005235E1"/>
    <w:rsid w:val="00571295"/>
    <w:rsid w:val="00590534"/>
    <w:rsid w:val="00622C25"/>
    <w:rsid w:val="00667EDE"/>
    <w:rsid w:val="00670D48"/>
    <w:rsid w:val="006B1A2B"/>
    <w:rsid w:val="006C5A9C"/>
    <w:rsid w:val="006E2BBD"/>
    <w:rsid w:val="00735932"/>
    <w:rsid w:val="00741752"/>
    <w:rsid w:val="007A0D48"/>
    <w:rsid w:val="007A2CF6"/>
    <w:rsid w:val="007D2341"/>
    <w:rsid w:val="0089734D"/>
    <w:rsid w:val="008B6914"/>
    <w:rsid w:val="0093720E"/>
    <w:rsid w:val="0094656D"/>
    <w:rsid w:val="00966C02"/>
    <w:rsid w:val="009B6DFA"/>
    <w:rsid w:val="00A6167D"/>
    <w:rsid w:val="00A778DA"/>
    <w:rsid w:val="00AB081E"/>
    <w:rsid w:val="00AC155B"/>
    <w:rsid w:val="00AD511C"/>
    <w:rsid w:val="00B07814"/>
    <w:rsid w:val="00B26279"/>
    <w:rsid w:val="00BB3F09"/>
    <w:rsid w:val="00BF1ABF"/>
    <w:rsid w:val="00C26BC2"/>
    <w:rsid w:val="00C60B67"/>
    <w:rsid w:val="00C65EF3"/>
    <w:rsid w:val="00C97F46"/>
    <w:rsid w:val="00D30EF9"/>
    <w:rsid w:val="00D959E0"/>
    <w:rsid w:val="00DF1BCE"/>
    <w:rsid w:val="00E04805"/>
    <w:rsid w:val="00E356BD"/>
    <w:rsid w:val="00E35DEC"/>
    <w:rsid w:val="00EF7C85"/>
    <w:rsid w:val="00F01182"/>
    <w:rsid w:val="00F6772D"/>
    <w:rsid w:val="00F76D35"/>
    <w:rsid w:val="00F94E10"/>
    <w:rsid w:val="00FE4845"/>
    <w:rsid w:val="00FE4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paragraph" w:styleId="BalloonText">
    <w:name w:val="Balloon Text"/>
    <w:basedOn w:val="Normal"/>
    <w:link w:val="BalloonTextChar"/>
    <w:uiPriority w:val="99"/>
    <w:semiHidden/>
    <w:unhideWhenUsed/>
    <w:rsid w:val="005235E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35E1"/>
    <w:rPr>
      <w:rFonts w:ascii="Segoe UI" w:eastAsia="SimSun" w:hAnsi="Segoe UI" w:cs="Segoe UI"/>
      <w:sz w:val="18"/>
      <w:szCs w:val="18"/>
      <w:lang w:val="en-GB"/>
    </w:rPr>
  </w:style>
  <w:style w:type="table" w:styleId="TableGrid">
    <w:name w:val="Table Grid"/>
    <w:basedOn w:val="TableNormal"/>
    <w:uiPriority w:val="39"/>
    <w:rsid w:val="00667E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7EDE"/>
    <w:pPr>
      <w:overflowPunct/>
      <w:autoSpaceDE/>
      <w:autoSpaceDN/>
      <w:adjustRightInd/>
      <w:spacing w:before="0" w:after="0"/>
      <w:ind w:left="720"/>
      <w:contextualSpacing/>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58336">
      <w:bodyDiv w:val="1"/>
      <w:marLeft w:val="0"/>
      <w:marRight w:val="0"/>
      <w:marTop w:val="0"/>
      <w:marBottom w:val="0"/>
      <w:divBdr>
        <w:top w:val="none" w:sz="0" w:space="0" w:color="auto"/>
        <w:left w:val="none" w:sz="0" w:space="0" w:color="auto"/>
        <w:bottom w:val="none" w:sz="0" w:space="0" w:color="auto"/>
        <w:right w:val="none" w:sz="0" w:space="0" w:color="auto"/>
      </w:divBdr>
      <w:divsChild>
        <w:div w:id="1608351465">
          <w:marLeft w:val="360"/>
          <w:marRight w:val="0"/>
          <w:marTop w:val="120"/>
          <w:marBottom w:val="0"/>
          <w:divBdr>
            <w:top w:val="none" w:sz="0" w:space="0" w:color="auto"/>
            <w:left w:val="none" w:sz="0" w:space="0" w:color="auto"/>
            <w:bottom w:val="none" w:sz="0" w:space="0" w:color="auto"/>
            <w:right w:val="none" w:sz="0" w:space="0" w:color="auto"/>
          </w:divBdr>
        </w:div>
        <w:div w:id="919873484">
          <w:marLeft w:val="1080"/>
          <w:marRight w:val="0"/>
          <w:marTop w:val="120"/>
          <w:marBottom w:val="0"/>
          <w:divBdr>
            <w:top w:val="none" w:sz="0" w:space="0" w:color="auto"/>
            <w:left w:val="none" w:sz="0" w:space="0" w:color="auto"/>
            <w:bottom w:val="none" w:sz="0" w:space="0" w:color="auto"/>
            <w:right w:val="none" w:sz="0" w:space="0" w:color="auto"/>
          </w:divBdr>
        </w:div>
        <w:div w:id="2016378705">
          <w:marLeft w:val="1800"/>
          <w:marRight w:val="0"/>
          <w:marTop w:val="120"/>
          <w:marBottom w:val="0"/>
          <w:divBdr>
            <w:top w:val="none" w:sz="0" w:space="0" w:color="auto"/>
            <w:left w:val="none" w:sz="0" w:space="0" w:color="auto"/>
            <w:bottom w:val="none" w:sz="0" w:space="0" w:color="auto"/>
            <w:right w:val="none" w:sz="0" w:space="0" w:color="auto"/>
          </w:divBdr>
        </w:div>
        <w:div w:id="1600140015">
          <w:marLeft w:val="1800"/>
          <w:marRight w:val="0"/>
          <w:marTop w:val="120"/>
          <w:marBottom w:val="0"/>
          <w:divBdr>
            <w:top w:val="none" w:sz="0" w:space="0" w:color="auto"/>
            <w:left w:val="none" w:sz="0" w:space="0" w:color="auto"/>
            <w:bottom w:val="none" w:sz="0" w:space="0" w:color="auto"/>
            <w:right w:val="none" w:sz="0" w:space="0" w:color="auto"/>
          </w:divBdr>
        </w:div>
        <w:div w:id="28261944">
          <w:marLeft w:val="2520"/>
          <w:marRight w:val="0"/>
          <w:marTop w:val="120"/>
          <w:marBottom w:val="0"/>
          <w:divBdr>
            <w:top w:val="none" w:sz="0" w:space="0" w:color="auto"/>
            <w:left w:val="none" w:sz="0" w:space="0" w:color="auto"/>
            <w:bottom w:val="none" w:sz="0" w:space="0" w:color="auto"/>
            <w:right w:val="none" w:sz="0" w:space="0" w:color="auto"/>
          </w:divBdr>
        </w:div>
        <w:div w:id="1926382326">
          <w:marLeft w:val="1080"/>
          <w:marRight w:val="0"/>
          <w:marTop w:val="120"/>
          <w:marBottom w:val="0"/>
          <w:divBdr>
            <w:top w:val="none" w:sz="0" w:space="0" w:color="auto"/>
            <w:left w:val="none" w:sz="0" w:space="0" w:color="auto"/>
            <w:bottom w:val="none" w:sz="0" w:space="0" w:color="auto"/>
            <w:right w:val="none" w:sz="0" w:space="0" w:color="auto"/>
          </w:divBdr>
        </w:div>
        <w:div w:id="414327927">
          <w:marLeft w:val="1800"/>
          <w:marRight w:val="0"/>
          <w:marTop w:val="120"/>
          <w:marBottom w:val="0"/>
          <w:divBdr>
            <w:top w:val="none" w:sz="0" w:space="0" w:color="auto"/>
            <w:left w:val="none" w:sz="0" w:space="0" w:color="auto"/>
            <w:bottom w:val="none" w:sz="0" w:space="0" w:color="auto"/>
            <w:right w:val="none" w:sz="0" w:space="0" w:color="auto"/>
          </w:divBdr>
        </w:div>
        <w:div w:id="414518196">
          <w:marLeft w:val="1800"/>
          <w:marRight w:val="0"/>
          <w:marTop w:val="120"/>
          <w:marBottom w:val="0"/>
          <w:divBdr>
            <w:top w:val="none" w:sz="0" w:space="0" w:color="auto"/>
            <w:left w:val="none" w:sz="0" w:space="0" w:color="auto"/>
            <w:bottom w:val="none" w:sz="0" w:space="0" w:color="auto"/>
            <w:right w:val="none" w:sz="0" w:space="0" w:color="auto"/>
          </w:divBdr>
        </w:div>
        <w:div w:id="177424352">
          <w:marLeft w:val="2520"/>
          <w:marRight w:val="0"/>
          <w:marTop w:val="120"/>
          <w:marBottom w:val="0"/>
          <w:divBdr>
            <w:top w:val="none" w:sz="0" w:space="0" w:color="auto"/>
            <w:left w:val="none" w:sz="0" w:space="0" w:color="auto"/>
            <w:bottom w:val="none" w:sz="0" w:space="0" w:color="auto"/>
            <w:right w:val="none" w:sz="0" w:space="0" w:color="auto"/>
          </w:divBdr>
        </w:div>
      </w:divsChild>
    </w:div>
    <w:div w:id="141317576">
      <w:bodyDiv w:val="1"/>
      <w:marLeft w:val="0"/>
      <w:marRight w:val="0"/>
      <w:marTop w:val="0"/>
      <w:marBottom w:val="0"/>
      <w:divBdr>
        <w:top w:val="none" w:sz="0" w:space="0" w:color="auto"/>
        <w:left w:val="none" w:sz="0" w:space="0" w:color="auto"/>
        <w:bottom w:val="none" w:sz="0" w:space="0" w:color="auto"/>
        <w:right w:val="none" w:sz="0" w:space="0" w:color="auto"/>
      </w:divBdr>
      <w:divsChild>
        <w:div w:id="1464346907">
          <w:marLeft w:val="360"/>
          <w:marRight w:val="0"/>
          <w:marTop w:val="120"/>
          <w:marBottom w:val="0"/>
          <w:divBdr>
            <w:top w:val="none" w:sz="0" w:space="0" w:color="auto"/>
            <w:left w:val="none" w:sz="0" w:space="0" w:color="auto"/>
            <w:bottom w:val="none" w:sz="0" w:space="0" w:color="auto"/>
            <w:right w:val="none" w:sz="0" w:space="0" w:color="auto"/>
          </w:divBdr>
        </w:div>
        <w:div w:id="1446342119">
          <w:marLeft w:val="1080"/>
          <w:marRight w:val="0"/>
          <w:marTop w:val="120"/>
          <w:marBottom w:val="0"/>
          <w:divBdr>
            <w:top w:val="none" w:sz="0" w:space="0" w:color="auto"/>
            <w:left w:val="none" w:sz="0" w:space="0" w:color="auto"/>
            <w:bottom w:val="none" w:sz="0" w:space="0" w:color="auto"/>
            <w:right w:val="none" w:sz="0" w:space="0" w:color="auto"/>
          </w:divBdr>
        </w:div>
        <w:div w:id="1747150520">
          <w:marLeft w:val="1800"/>
          <w:marRight w:val="0"/>
          <w:marTop w:val="120"/>
          <w:marBottom w:val="0"/>
          <w:divBdr>
            <w:top w:val="none" w:sz="0" w:space="0" w:color="auto"/>
            <w:left w:val="none" w:sz="0" w:space="0" w:color="auto"/>
            <w:bottom w:val="none" w:sz="0" w:space="0" w:color="auto"/>
            <w:right w:val="none" w:sz="0" w:space="0" w:color="auto"/>
          </w:divBdr>
        </w:div>
        <w:div w:id="1576744468">
          <w:marLeft w:val="1800"/>
          <w:marRight w:val="0"/>
          <w:marTop w:val="120"/>
          <w:marBottom w:val="0"/>
          <w:divBdr>
            <w:top w:val="none" w:sz="0" w:space="0" w:color="auto"/>
            <w:left w:val="none" w:sz="0" w:space="0" w:color="auto"/>
            <w:bottom w:val="none" w:sz="0" w:space="0" w:color="auto"/>
            <w:right w:val="none" w:sz="0" w:space="0" w:color="auto"/>
          </w:divBdr>
        </w:div>
        <w:div w:id="1460224829">
          <w:marLeft w:val="2520"/>
          <w:marRight w:val="0"/>
          <w:marTop w:val="120"/>
          <w:marBottom w:val="0"/>
          <w:divBdr>
            <w:top w:val="none" w:sz="0" w:space="0" w:color="auto"/>
            <w:left w:val="none" w:sz="0" w:space="0" w:color="auto"/>
            <w:bottom w:val="none" w:sz="0" w:space="0" w:color="auto"/>
            <w:right w:val="none" w:sz="0" w:space="0" w:color="auto"/>
          </w:divBdr>
        </w:div>
        <w:div w:id="776409107">
          <w:marLeft w:val="1080"/>
          <w:marRight w:val="0"/>
          <w:marTop w:val="120"/>
          <w:marBottom w:val="0"/>
          <w:divBdr>
            <w:top w:val="none" w:sz="0" w:space="0" w:color="auto"/>
            <w:left w:val="none" w:sz="0" w:space="0" w:color="auto"/>
            <w:bottom w:val="none" w:sz="0" w:space="0" w:color="auto"/>
            <w:right w:val="none" w:sz="0" w:space="0" w:color="auto"/>
          </w:divBdr>
        </w:div>
        <w:div w:id="123037104">
          <w:marLeft w:val="1800"/>
          <w:marRight w:val="0"/>
          <w:marTop w:val="120"/>
          <w:marBottom w:val="0"/>
          <w:divBdr>
            <w:top w:val="none" w:sz="0" w:space="0" w:color="auto"/>
            <w:left w:val="none" w:sz="0" w:space="0" w:color="auto"/>
            <w:bottom w:val="none" w:sz="0" w:space="0" w:color="auto"/>
            <w:right w:val="none" w:sz="0" w:space="0" w:color="auto"/>
          </w:divBdr>
        </w:div>
        <w:div w:id="960302082">
          <w:marLeft w:val="1800"/>
          <w:marRight w:val="0"/>
          <w:marTop w:val="120"/>
          <w:marBottom w:val="0"/>
          <w:divBdr>
            <w:top w:val="none" w:sz="0" w:space="0" w:color="auto"/>
            <w:left w:val="none" w:sz="0" w:space="0" w:color="auto"/>
            <w:bottom w:val="none" w:sz="0" w:space="0" w:color="auto"/>
            <w:right w:val="none" w:sz="0" w:space="0" w:color="auto"/>
          </w:divBdr>
        </w:div>
        <w:div w:id="842014128">
          <w:marLeft w:val="2520"/>
          <w:marRight w:val="0"/>
          <w:marTop w:val="120"/>
          <w:marBottom w:val="0"/>
          <w:divBdr>
            <w:top w:val="none" w:sz="0" w:space="0" w:color="auto"/>
            <w:left w:val="none" w:sz="0" w:space="0" w:color="auto"/>
            <w:bottom w:val="none" w:sz="0" w:space="0" w:color="auto"/>
            <w:right w:val="none" w:sz="0" w:space="0" w:color="auto"/>
          </w:divBdr>
        </w:div>
      </w:divsChild>
    </w:div>
    <w:div w:id="430199285">
      <w:bodyDiv w:val="1"/>
      <w:marLeft w:val="0"/>
      <w:marRight w:val="0"/>
      <w:marTop w:val="0"/>
      <w:marBottom w:val="0"/>
      <w:divBdr>
        <w:top w:val="none" w:sz="0" w:space="0" w:color="auto"/>
        <w:left w:val="none" w:sz="0" w:space="0" w:color="auto"/>
        <w:bottom w:val="none" w:sz="0" w:space="0" w:color="auto"/>
        <w:right w:val="none" w:sz="0" w:space="0" w:color="auto"/>
      </w:divBdr>
      <w:divsChild>
        <w:div w:id="572008792">
          <w:marLeft w:val="547"/>
          <w:marRight w:val="0"/>
          <w:marTop w:val="154"/>
          <w:marBottom w:val="0"/>
          <w:divBdr>
            <w:top w:val="none" w:sz="0" w:space="0" w:color="auto"/>
            <w:left w:val="none" w:sz="0" w:space="0" w:color="auto"/>
            <w:bottom w:val="none" w:sz="0" w:space="0" w:color="auto"/>
            <w:right w:val="none" w:sz="0" w:space="0" w:color="auto"/>
          </w:divBdr>
        </w:div>
        <w:div w:id="2086956133">
          <w:marLeft w:val="1166"/>
          <w:marRight w:val="0"/>
          <w:marTop w:val="134"/>
          <w:marBottom w:val="0"/>
          <w:divBdr>
            <w:top w:val="none" w:sz="0" w:space="0" w:color="auto"/>
            <w:left w:val="none" w:sz="0" w:space="0" w:color="auto"/>
            <w:bottom w:val="none" w:sz="0" w:space="0" w:color="auto"/>
            <w:right w:val="none" w:sz="0" w:space="0" w:color="auto"/>
          </w:divBdr>
        </w:div>
      </w:divsChild>
    </w:div>
    <w:div w:id="434716438">
      <w:bodyDiv w:val="1"/>
      <w:marLeft w:val="0"/>
      <w:marRight w:val="0"/>
      <w:marTop w:val="0"/>
      <w:marBottom w:val="0"/>
      <w:divBdr>
        <w:top w:val="none" w:sz="0" w:space="0" w:color="auto"/>
        <w:left w:val="none" w:sz="0" w:space="0" w:color="auto"/>
        <w:bottom w:val="none" w:sz="0" w:space="0" w:color="auto"/>
        <w:right w:val="none" w:sz="0" w:space="0" w:color="auto"/>
      </w:divBdr>
      <w:divsChild>
        <w:div w:id="961115365">
          <w:marLeft w:val="1080"/>
          <w:marRight w:val="0"/>
          <w:marTop w:val="100"/>
          <w:marBottom w:val="0"/>
          <w:divBdr>
            <w:top w:val="none" w:sz="0" w:space="0" w:color="auto"/>
            <w:left w:val="none" w:sz="0" w:space="0" w:color="auto"/>
            <w:bottom w:val="none" w:sz="0" w:space="0" w:color="auto"/>
            <w:right w:val="none" w:sz="0" w:space="0" w:color="auto"/>
          </w:divBdr>
        </w:div>
        <w:div w:id="1121150348">
          <w:marLeft w:val="1800"/>
          <w:marRight w:val="0"/>
          <w:marTop w:val="100"/>
          <w:marBottom w:val="0"/>
          <w:divBdr>
            <w:top w:val="none" w:sz="0" w:space="0" w:color="auto"/>
            <w:left w:val="none" w:sz="0" w:space="0" w:color="auto"/>
            <w:bottom w:val="none" w:sz="0" w:space="0" w:color="auto"/>
            <w:right w:val="none" w:sz="0" w:space="0" w:color="auto"/>
          </w:divBdr>
        </w:div>
        <w:div w:id="547768899">
          <w:marLeft w:val="2520"/>
          <w:marRight w:val="0"/>
          <w:marTop w:val="100"/>
          <w:marBottom w:val="0"/>
          <w:divBdr>
            <w:top w:val="none" w:sz="0" w:space="0" w:color="auto"/>
            <w:left w:val="none" w:sz="0" w:space="0" w:color="auto"/>
            <w:bottom w:val="none" w:sz="0" w:space="0" w:color="auto"/>
            <w:right w:val="none" w:sz="0" w:space="0" w:color="auto"/>
          </w:divBdr>
        </w:div>
        <w:div w:id="483358175">
          <w:marLeft w:val="2520"/>
          <w:marRight w:val="0"/>
          <w:marTop w:val="100"/>
          <w:marBottom w:val="0"/>
          <w:divBdr>
            <w:top w:val="none" w:sz="0" w:space="0" w:color="auto"/>
            <w:left w:val="none" w:sz="0" w:space="0" w:color="auto"/>
            <w:bottom w:val="none" w:sz="0" w:space="0" w:color="auto"/>
            <w:right w:val="none" w:sz="0" w:space="0" w:color="auto"/>
          </w:divBdr>
        </w:div>
        <w:div w:id="1495029878">
          <w:marLeft w:val="2520"/>
          <w:marRight w:val="0"/>
          <w:marTop w:val="100"/>
          <w:marBottom w:val="0"/>
          <w:divBdr>
            <w:top w:val="none" w:sz="0" w:space="0" w:color="auto"/>
            <w:left w:val="none" w:sz="0" w:space="0" w:color="auto"/>
            <w:bottom w:val="none" w:sz="0" w:space="0" w:color="auto"/>
            <w:right w:val="none" w:sz="0" w:space="0" w:color="auto"/>
          </w:divBdr>
        </w:div>
        <w:div w:id="692458471">
          <w:marLeft w:val="1800"/>
          <w:marRight w:val="0"/>
          <w:marTop w:val="100"/>
          <w:marBottom w:val="0"/>
          <w:divBdr>
            <w:top w:val="none" w:sz="0" w:space="0" w:color="auto"/>
            <w:left w:val="none" w:sz="0" w:space="0" w:color="auto"/>
            <w:bottom w:val="none" w:sz="0" w:space="0" w:color="auto"/>
            <w:right w:val="none" w:sz="0" w:space="0" w:color="auto"/>
          </w:divBdr>
        </w:div>
        <w:div w:id="905725921">
          <w:marLeft w:val="1800"/>
          <w:marRight w:val="0"/>
          <w:marTop w:val="100"/>
          <w:marBottom w:val="0"/>
          <w:divBdr>
            <w:top w:val="none" w:sz="0" w:space="0" w:color="auto"/>
            <w:left w:val="none" w:sz="0" w:space="0" w:color="auto"/>
            <w:bottom w:val="none" w:sz="0" w:space="0" w:color="auto"/>
            <w:right w:val="none" w:sz="0" w:space="0" w:color="auto"/>
          </w:divBdr>
        </w:div>
      </w:divsChild>
    </w:div>
    <w:div w:id="444540583">
      <w:bodyDiv w:val="1"/>
      <w:marLeft w:val="0"/>
      <w:marRight w:val="0"/>
      <w:marTop w:val="0"/>
      <w:marBottom w:val="0"/>
      <w:divBdr>
        <w:top w:val="none" w:sz="0" w:space="0" w:color="auto"/>
        <w:left w:val="none" w:sz="0" w:space="0" w:color="auto"/>
        <w:bottom w:val="none" w:sz="0" w:space="0" w:color="auto"/>
        <w:right w:val="none" w:sz="0" w:space="0" w:color="auto"/>
      </w:divBdr>
      <w:divsChild>
        <w:div w:id="118688238">
          <w:marLeft w:val="360"/>
          <w:marRight w:val="0"/>
          <w:marTop w:val="120"/>
          <w:marBottom w:val="0"/>
          <w:divBdr>
            <w:top w:val="none" w:sz="0" w:space="0" w:color="auto"/>
            <w:left w:val="none" w:sz="0" w:space="0" w:color="auto"/>
            <w:bottom w:val="none" w:sz="0" w:space="0" w:color="auto"/>
            <w:right w:val="none" w:sz="0" w:space="0" w:color="auto"/>
          </w:divBdr>
        </w:div>
        <w:div w:id="1849559606">
          <w:marLeft w:val="1080"/>
          <w:marRight w:val="0"/>
          <w:marTop w:val="120"/>
          <w:marBottom w:val="0"/>
          <w:divBdr>
            <w:top w:val="none" w:sz="0" w:space="0" w:color="auto"/>
            <w:left w:val="none" w:sz="0" w:space="0" w:color="auto"/>
            <w:bottom w:val="none" w:sz="0" w:space="0" w:color="auto"/>
            <w:right w:val="none" w:sz="0" w:space="0" w:color="auto"/>
          </w:divBdr>
        </w:div>
        <w:div w:id="1604799816">
          <w:marLeft w:val="1800"/>
          <w:marRight w:val="0"/>
          <w:marTop w:val="120"/>
          <w:marBottom w:val="0"/>
          <w:divBdr>
            <w:top w:val="none" w:sz="0" w:space="0" w:color="auto"/>
            <w:left w:val="none" w:sz="0" w:space="0" w:color="auto"/>
            <w:bottom w:val="none" w:sz="0" w:space="0" w:color="auto"/>
            <w:right w:val="none" w:sz="0" w:space="0" w:color="auto"/>
          </w:divBdr>
        </w:div>
        <w:div w:id="168175526">
          <w:marLeft w:val="2520"/>
          <w:marRight w:val="0"/>
          <w:marTop w:val="120"/>
          <w:marBottom w:val="0"/>
          <w:divBdr>
            <w:top w:val="none" w:sz="0" w:space="0" w:color="auto"/>
            <w:left w:val="none" w:sz="0" w:space="0" w:color="auto"/>
            <w:bottom w:val="none" w:sz="0" w:space="0" w:color="auto"/>
            <w:right w:val="none" w:sz="0" w:space="0" w:color="auto"/>
          </w:divBdr>
        </w:div>
        <w:div w:id="430394230">
          <w:marLeft w:val="2520"/>
          <w:marRight w:val="0"/>
          <w:marTop w:val="120"/>
          <w:marBottom w:val="0"/>
          <w:divBdr>
            <w:top w:val="none" w:sz="0" w:space="0" w:color="auto"/>
            <w:left w:val="none" w:sz="0" w:space="0" w:color="auto"/>
            <w:bottom w:val="none" w:sz="0" w:space="0" w:color="auto"/>
            <w:right w:val="none" w:sz="0" w:space="0" w:color="auto"/>
          </w:divBdr>
        </w:div>
        <w:div w:id="356349449">
          <w:marLeft w:val="1800"/>
          <w:marRight w:val="0"/>
          <w:marTop w:val="120"/>
          <w:marBottom w:val="0"/>
          <w:divBdr>
            <w:top w:val="none" w:sz="0" w:space="0" w:color="auto"/>
            <w:left w:val="none" w:sz="0" w:space="0" w:color="auto"/>
            <w:bottom w:val="none" w:sz="0" w:space="0" w:color="auto"/>
            <w:right w:val="none" w:sz="0" w:space="0" w:color="auto"/>
          </w:divBdr>
        </w:div>
        <w:div w:id="9380203">
          <w:marLeft w:val="1800"/>
          <w:marRight w:val="0"/>
          <w:marTop w:val="120"/>
          <w:marBottom w:val="0"/>
          <w:divBdr>
            <w:top w:val="none" w:sz="0" w:space="0" w:color="auto"/>
            <w:left w:val="none" w:sz="0" w:space="0" w:color="auto"/>
            <w:bottom w:val="none" w:sz="0" w:space="0" w:color="auto"/>
            <w:right w:val="none" w:sz="0" w:space="0" w:color="auto"/>
          </w:divBdr>
        </w:div>
      </w:divsChild>
    </w:div>
    <w:div w:id="699861239">
      <w:bodyDiv w:val="1"/>
      <w:marLeft w:val="0"/>
      <w:marRight w:val="0"/>
      <w:marTop w:val="0"/>
      <w:marBottom w:val="0"/>
      <w:divBdr>
        <w:top w:val="none" w:sz="0" w:space="0" w:color="auto"/>
        <w:left w:val="none" w:sz="0" w:space="0" w:color="auto"/>
        <w:bottom w:val="none" w:sz="0" w:space="0" w:color="auto"/>
        <w:right w:val="none" w:sz="0" w:space="0" w:color="auto"/>
      </w:divBdr>
      <w:divsChild>
        <w:div w:id="865288669">
          <w:marLeft w:val="547"/>
          <w:marRight w:val="0"/>
          <w:marTop w:val="154"/>
          <w:marBottom w:val="0"/>
          <w:divBdr>
            <w:top w:val="none" w:sz="0" w:space="0" w:color="auto"/>
            <w:left w:val="none" w:sz="0" w:space="0" w:color="auto"/>
            <w:bottom w:val="none" w:sz="0" w:space="0" w:color="auto"/>
            <w:right w:val="none" w:sz="0" w:space="0" w:color="auto"/>
          </w:divBdr>
        </w:div>
        <w:div w:id="432095017">
          <w:marLeft w:val="1166"/>
          <w:marRight w:val="0"/>
          <w:marTop w:val="134"/>
          <w:marBottom w:val="0"/>
          <w:divBdr>
            <w:top w:val="none" w:sz="0" w:space="0" w:color="auto"/>
            <w:left w:val="none" w:sz="0" w:space="0" w:color="auto"/>
            <w:bottom w:val="none" w:sz="0" w:space="0" w:color="auto"/>
            <w:right w:val="none" w:sz="0" w:space="0" w:color="auto"/>
          </w:divBdr>
        </w:div>
      </w:divsChild>
    </w:div>
    <w:div w:id="868685534">
      <w:bodyDiv w:val="1"/>
      <w:marLeft w:val="0"/>
      <w:marRight w:val="0"/>
      <w:marTop w:val="0"/>
      <w:marBottom w:val="0"/>
      <w:divBdr>
        <w:top w:val="none" w:sz="0" w:space="0" w:color="auto"/>
        <w:left w:val="none" w:sz="0" w:space="0" w:color="auto"/>
        <w:bottom w:val="none" w:sz="0" w:space="0" w:color="auto"/>
        <w:right w:val="none" w:sz="0" w:space="0" w:color="auto"/>
      </w:divBdr>
      <w:divsChild>
        <w:div w:id="1435904336">
          <w:marLeft w:val="360"/>
          <w:marRight w:val="0"/>
          <w:marTop w:val="120"/>
          <w:marBottom w:val="0"/>
          <w:divBdr>
            <w:top w:val="none" w:sz="0" w:space="0" w:color="auto"/>
            <w:left w:val="none" w:sz="0" w:space="0" w:color="auto"/>
            <w:bottom w:val="none" w:sz="0" w:space="0" w:color="auto"/>
            <w:right w:val="none" w:sz="0" w:space="0" w:color="auto"/>
          </w:divBdr>
        </w:div>
        <w:div w:id="1241061757">
          <w:marLeft w:val="1080"/>
          <w:marRight w:val="0"/>
          <w:marTop w:val="120"/>
          <w:marBottom w:val="0"/>
          <w:divBdr>
            <w:top w:val="none" w:sz="0" w:space="0" w:color="auto"/>
            <w:left w:val="none" w:sz="0" w:space="0" w:color="auto"/>
            <w:bottom w:val="none" w:sz="0" w:space="0" w:color="auto"/>
            <w:right w:val="none" w:sz="0" w:space="0" w:color="auto"/>
          </w:divBdr>
        </w:div>
        <w:div w:id="1010059577">
          <w:marLeft w:val="1080"/>
          <w:marRight w:val="0"/>
          <w:marTop w:val="120"/>
          <w:marBottom w:val="0"/>
          <w:divBdr>
            <w:top w:val="none" w:sz="0" w:space="0" w:color="auto"/>
            <w:left w:val="none" w:sz="0" w:space="0" w:color="auto"/>
            <w:bottom w:val="none" w:sz="0" w:space="0" w:color="auto"/>
            <w:right w:val="none" w:sz="0" w:space="0" w:color="auto"/>
          </w:divBdr>
        </w:div>
      </w:divsChild>
    </w:div>
    <w:div w:id="1134178505">
      <w:bodyDiv w:val="1"/>
      <w:marLeft w:val="0"/>
      <w:marRight w:val="0"/>
      <w:marTop w:val="0"/>
      <w:marBottom w:val="0"/>
      <w:divBdr>
        <w:top w:val="none" w:sz="0" w:space="0" w:color="auto"/>
        <w:left w:val="none" w:sz="0" w:space="0" w:color="auto"/>
        <w:bottom w:val="none" w:sz="0" w:space="0" w:color="auto"/>
        <w:right w:val="none" w:sz="0" w:space="0" w:color="auto"/>
      </w:divBdr>
      <w:divsChild>
        <w:div w:id="367992365">
          <w:marLeft w:val="0"/>
          <w:marRight w:val="0"/>
          <w:marTop w:val="0"/>
          <w:marBottom w:val="0"/>
          <w:divBdr>
            <w:top w:val="none" w:sz="0" w:space="0" w:color="auto"/>
            <w:left w:val="none" w:sz="0" w:space="0" w:color="auto"/>
            <w:bottom w:val="none" w:sz="0" w:space="0" w:color="auto"/>
            <w:right w:val="none" w:sz="0" w:space="0" w:color="auto"/>
          </w:divBdr>
        </w:div>
      </w:divsChild>
    </w:div>
    <w:div w:id="1162551200">
      <w:bodyDiv w:val="1"/>
      <w:marLeft w:val="0"/>
      <w:marRight w:val="0"/>
      <w:marTop w:val="0"/>
      <w:marBottom w:val="0"/>
      <w:divBdr>
        <w:top w:val="none" w:sz="0" w:space="0" w:color="auto"/>
        <w:left w:val="none" w:sz="0" w:space="0" w:color="auto"/>
        <w:bottom w:val="none" w:sz="0" w:space="0" w:color="auto"/>
        <w:right w:val="none" w:sz="0" w:space="0" w:color="auto"/>
      </w:divBdr>
      <w:divsChild>
        <w:div w:id="354310602">
          <w:marLeft w:val="547"/>
          <w:marRight w:val="0"/>
          <w:marTop w:val="154"/>
          <w:marBottom w:val="0"/>
          <w:divBdr>
            <w:top w:val="none" w:sz="0" w:space="0" w:color="auto"/>
            <w:left w:val="none" w:sz="0" w:space="0" w:color="auto"/>
            <w:bottom w:val="none" w:sz="0" w:space="0" w:color="auto"/>
            <w:right w:val="none" w:sz="0" w:space="0" w:color="auto"/>
          </w:divBdr>
        </w:div>
      </w:divsChild>
    </w:div>
    <w:div w:id="1304191869">
      <w:bodyDiv w:val="1"/>
      <w:marLeft w:val="0"/>
      <w:marRight w:val="0"/>
      <w:marTop w:val="0"/>
      <w:marBottom w:val="0"/>
      <w:divBdr>
        <w:top w:val="none" w:sz="0" w:space="0" w:color="auto"/>
        <w:left w:val="none" w:sz="0" w:space="0" w:color="auto"/>
        <w:bottom w:val="none" w:sz="0" w:space="0" w:color="auto"/>
        <w:right w:val="none" w:sz="0" w:space="0" w:color="auto"/>
      </w:divBdr>
      <w:divsChild>
        <w:div w:id="441074163">
          <w:marLeft w:val="1080"/>
          <w:marRight w:val="0"/>
          <w:marTop w:val="100"/>
          <w:marBottom w:val="0"/>
          <w:divBdr>
            <w:top w:val="none" w:sz="0" w:space="0" w:color="auto"/>
            <w:left w:val="none" w:sz="0" w:space="0" w:color="auto"/>
            <w:bottom w:val="none" w:sz="0" w:space="0" w:color="auto"/>
            <w:right w:val="none" w:sz="0" w:space="0" w:color="auto"/>
          </w:divBdr>
        </w:div>
        <w:div w:id="869802598">
          <w:marLeft w:val="1800"/>
          <w:marRight w:val="0"/>
          <w:marTop w:val="100"/>
          <w:marBottom w:val="0"/>
          <w:divBdr>
            <w:top w:val="none" w:sz="0" w:space="0" w:color="auto"/>
            <w:left w:val="none" w:sz="0" w:space="0" w:color="auto"/>
            <w:bottom w:val="none" w:sz="0" w:space="0" w:color="auto"/>
            <w:right w:val="none" w:sz="0" w:space="0" w:color="auto"/>
          </w:divBdr>
        </w:div>
        <w:div w:id="84691679">
          <w:marLeft w:val="2520"/>
          <w:marRight w:val="0"/>
          <w:marTop w:val="100"/>
          <w:marBottom w:val="0"/>
          <w:divBdr>
            <w:top w:val="none" w:sz="0" w:space="0" w:color="auto"/>
            <w:left w:val="none" w:sz="0" w:space="0" w:color="auto"/>
            <w:bottom w:val="none" w:sz="0" w:space="0" w:color="auto"/>
            <w:right w:val="none" w:sz="0" w:space="0" w:color="auto"/>
          </w:divBdr>
        </w:div>
        <w:div w:id="1839029296">
          <w:marLeft w:val="2520"/>
          <w:marRight w:val="0"/>
          <w:marTop w:val="100"/>
          <w:marBottom w:val="0"/>
          <w:divBdr>
            <w:top w:val="none" w:sz="0" w:space="0" w:color="auto"/>
            <w:left w:val="none" w:sz="0" w:space="0" w:color="auto"/>
            <w:bottom w:val="none" w:sz="0" w:space="0" w:color="auto"/>
            <w:right w:val="none" w:sz="0" w:space="0" w:color="auto"/>
          </w:divBdr>
        </w:div>
        <w:div w:id="1171532824">
          <w:marLeft w:val="2520"/>
          <w:marRight w:val="0"/>
          <w:marTop w:val="100"/>
          <w:marBottom w:val="0"/>
          <w:divBdr>
            <w:top w:val="none" w:sz="0" w:space="0" w:color="auto"/>
            <w:left w:val="none" w:sz="0" w:space="0" w:color="auto"/>
            <w:bottom w:val="none" w:sz="0" w:space="0" w:color="auto"/>
            <w:right w:val="none" w:sz="0" w:space="0" w:color="auto"/>
          </w:divBdr>
        </w:div>
        <w:div w:id="1052844199">
          <w:marLeft w:val="1800"/>
          <w:marRight w:val="0"/>
          <w:marTop w:val="100"/>
          <w:marBottom w:val="0"/>
          <w:divBdr>
            <w:top w:val="none" w:sz="0" w:space="0" w:color="auto"/>
            <w:left w:val="none" w:sz="0" w:space="0" w:color="auto"/>
            <w:bottom w:val="none" w:sz="0" w:space="0" w:color="auto"/>
            <w:right w:val="none" w:sz="0" w:space="0" w:color="auto"/>
          </w:divBdr>
        </w:div>
        <w:div w:id="622225961">
          <w:marLeft w:val="1800"/>
          <w:marRight w:val="0"/>
          <w:marTop w:val="100"/>
          <w:marBottom w:val="0"/>
          <w:divBdr>
            <w:top w:val="none" w:sz="0" w:space="0" w:color="auto"/>
            <w:left w:val="none" w:sz="0" w:space="0" w:color="auto"/>
            <w:bottom w:val="none" w:sz="0" w:space="0" w:color="auto"/>
            <w:right w:val="none" w:sz="0" w:space="0" w:color="auto"/>
          </w:divBdr>
        </w:div>
      </w:divsChild>
    </w:div>
    <w:div w:id="1467697297">
      <w:bodyDiv w:val="1"/>
      <w:marLeft w:val="0"/>
      <w:marRight w:val="0"/>
      <w:marTop w:val="0"/>
      <w:marBottom w:val="0"/>
      <w:divBdr>
        <w:top w:val="none" w:sz="0" w:space="0" w:color="auto"/>
        <w:left w:val="none" w:sz="0" w:space="0" w:color="auto"/>
        <w:bottom w:val="none" w:sz="0" w:space="0" w:color="auto"/>
        <w:right w:val="none" w:sz="0" w:space="0" w:color="auto"/>
      </w:divBdr>
      <w:divsChild>
        <w:div w:id="512649719">
          <w:marLeft w:val="1080"/>
          <w:marRight w:val="0"/>
          <w:marTop w:val="100"/>
          <w:marBottom w:val="0"/>
          <w:divBdr>
            <w:top w:val="none" w:sz="0" w:space="0" w:color="auto"/>
            <w:left w:val="none" w:sz="0" w:space="0" w:color="auto"/>
            <w:bottom w:val="none" w:sz="0" w:space="0" w:color="auto"/>
            <w:right w:val="none" w:sz="0" w:space="0" w:color="auto"/>
          </w:divBdr>
        </w:div>
        <w:div w:id="915363352">
          <w:marLeft w:val="1800"/>
          <w:marRight w:val="0"/>
          <w:marTop w:val="100"/>
          <w:marBottom w:val="0"/>
          <w:divBdr>
            <w:top w:val="none" w:sz="0" w:space="0" w:color="auto"/>
            <w:left w:val="none" w:sz="0" w:space="0" w:color="auto"/>
            <w:bottom w:val="none" w:sz="0" w:space="0" w:color="auto"/>
            <w:right w:val="none" w:sz="0" w:space="0" w:color="auto"/>
          </w:divBdr>
        </w:div>
        <w:div w:id="1988122494">
          <w:marLeft w:val="2304"/>
          <w:marRight w:val="0"/>
          <w:marTop w:val="100"/>
          <w:marBottom w:val="0"/>
          <w:divBdr>
            <w:top w:val="none" w:sz="0" w:space="0" w:color="auto"/>
            <w:left w:val="none" w:sz="0" w:space="0" w:color="auto"/>
            <w:bottom w:val="none" w:sz="0" w:space="0" w:color="auto"/>
            <w:right w:val="none" w:sz="0" w:space="0" w:color="auto"/>
          </w:divBdr>
        </w:div>
        <w:div w:id="1001201553">
          <w:marLeft w:val="2304"/>
          <w:marRight w:val="0"/>
          <w:marTop w:val="100"/>
          <w:marBottom w:val="0"/>
          <w:divBdr>
            <w:top w:val="none" w:sz="0" w:space="0" w:color="auto"/>
            <w:left w:val="none" w:sz="0" w:space="0" w:color="auto"/>
            <w:bottom w:val="none" w:sz="0" w:space="0" w:color="auto"/>
            <w:right w:val="none" w:sz="0" w:space="0" w:color="auto"/>
          </w:divBdr>
        </w:div>
        <w:div w:id="1489245948">
          <w:marLeft w:val="2304"/>
          <w:marRight w:val="0"/>
          <w:marTop w:val="100"/>
          <w:marBottom w:val="0"/>
          <w:divBdr>
            <w:top w:val="none" w:sz="0" w:space="0" w:color="auto"/>
            <w:left w:val="none" w:sz="0" w:space="0" w:color="auto"/>
            <w:bottom w:val="none" w:sz="0" w:space="0" w:color="auto"/>
            <w:right w:val="none" w:sz="0" w:space="0" w:color="auto"/>
          </w:divBdr>
        </w:div>
      </w:divsChild>
    </w:div>
    <w:div w:id="1509368208">
      <w:bodyDiv w:val="1"/>
      <w:marLeft w:val="0"/>
      <w:marRight w:val="0"/>
      <w:marTop w:val="0"/>
      <w:marBottom w:val="0"/>
      <w:divBdr>
        <w:top w:val="none" w:sz="0" w:space="0" w:color="auto"/>
        <w:left w:val="none" w:sz="0" w:space="0" w:color="auto"/>
        <w:bottom w:val="none" w:sz="0" w:space="0" w:color="auto"/>
        <w:right w:val="none" w:sz="0" w:space="0" w:color="auto"/>
      </w:divBdr>
      <w:divsChild>
        <w:div w:id="521749671">
          <w:marLeft w:val="360"/>
          <w:marRight w:val="0"/>
          <w:marTop w:val="120"/>
          <w:marBottom w:val="0"/>
          <w:divBdr>
            <w:top w:val="none" w:sz="0" w:space="0" w:color="auto"/>
            <w:left w:val="none" w:sz="0" w:space="0" w:color="auto"/>
            <w:bottom w:val="none" w:sz="0" w:space="0" w:color="auto"/>
            <w:right w:val="none" w:sz="0" w:space="0" w:color="auto"/>
          </w:divBdr>
        </w:div>
        <w:div w:id="557204402">
          <w:marLeft w:val="1080"/>
          <w:marRight w:val="0"/>
          <w:marTop w:val="120"/>
          <w:marBottom w:val="0"/>
          <w:divBdr>
            <w:top w:val="none" w:sz="0" w:space="0" w:color="auto"/>
            <w:left w:val="none" w:sz="0" w:space="0" w:color="auto"/>
            <w:bottom w:val="none" w:sz="0" w:space="0" w:color="auto"/>
            <w:right w:val="none" w:sz="0" w:space="0" w:color="auto"/>
          </w:divBdr>
        </w:div>
        <w:div w:id="968976278">
          <w:marLeft w:val="1800"/>
          <w:marRight w:val="0"/>
          <w:marTop w:val="120"/>
          <w:marBottom w:val="0"/>
          <w:divBdr>
            <w:top w:val="none" w:sz="0" w:space="0" w:color="auto"/>
            <w:left w:val="none" w:sz="0" w:space="0" w:color="auto"/>
            <w:bottom w:val="none" w:sz="0" w:space="0" w:color="auto"/>
            <w:right w:val="none" w:sz="0" w:space="0" w:color="auto"/>
          </w:divBdr>
        </w:div>
        <w:div w:id="61804068">
          <w:marLeft w:val="2520"/>
          <w:marRight w:val="0"/>
          <w:marTop w:val="120"/>
          <w:marBottom w:val="0"/>
          <w:divBdr>
            <w:top w:val="none" w:sz="0" w:space="0" w:color="auto"/>
            <w:left w:val="none" w:sz="0" w:space="0" w:color="auto"/>
            <w:bottom w:val="none" w:sz="0" w:space="0" w:color="auto"/>
            <w:right w:val="none" w:sz="0" w:space="0" w:color="auto"/>
          </w:divBdr>
        </w:div>
        <w:div w:id="650643455">
          <w:marLeft w:val="2520"/>
          <w:marRight w:val="0"/>
          <w:marTop w:val="120"/>
          <w:marBottom w:val="0"/>
          <w:divBdr>
            <w:top w:val="none" w:sz="0" w:space="0" w:color="auto"/>
            <w:left w:val="none" w:sz="0" w:space="0" w:color="auto"/>
            <w:bottom w:val="none" w:sz="0" w:space="0" w:color="auto"/>
            <w:right w:val="none" w:sz="0" w:space="0" w:color="auto"/>
          </w:divBdr>
        </w:div>
        <w:div w:id="1619947608">
          <w:marLeft w:val="1800"/>
          <w:marRight w:val="0"/>
          <w:marTop w:val="120"/>
          <w:marBottom w:val="0"/>
          <w:divBdr>
            <w:top w:val="none" w:sz="0" w:space="0" w:color="auto"/>
            <w:left w:val="none" w:sz="0" w:space="0" w:color="auto"/>
            <w:bottom w:val="none" w:sz="0" w:space="0" w:color="auto"/>
            <w:right w:val="none" w:sz="0" w:space="0" w:color="auto"/>
          </w:divBdr>
        </w:div>
        <w:div w:id="577445065">
          <w:marLeft w:val="1800"/>
          <w:marRight w:val="0"/>
          <w:marTop w:val="120"/>
          <w:marBottom w:val="0"/>
          <w:divBdr>
            <w:top w:val="none" w:sz="0" w:space="0" w:color="auto"/>
            <w:left w:val="none" w:sz="0" w:space="0" w:color="auto"/>
            <w:bottom w:val="none" w:sz="0" w:space="0" w:color="auto"/>
            <w:right w:val="none" w:sz="0" w:space="0" w:color="auto"/>
          </w:divBdr>
        </w:div>
      </w:divsChild>
    </w:div>
    <w:div w:id="2053536474">
      <w:bodyDiv w:val="1"/>
      <w:marLeft w:val="0"/>
      <w:marRight w:val="0"/>
      <w:marTop w:val="0"/>
      <w:marBottom w:val="0"/>
      <w:divBdr>
        <w:top w:val="none" w:sz="0" w:space="0" w:color="auto"/>
        <w:left w:val="none" w:sz="0" w:space="0" w:color="auto"/>
        <w:bottom w:val="none" w:sz="0" w:space="0" w:color="auto"/>
        <w:right w:val="none" w:sz="0" w:space="0" w:color="auto"/>
      </w:divBdr>
      <w:divsChild>
        <w:div w:id="1717004667">
          <w:marLeft w:val="360"/>
          <w:marRight w:val="0"/>
          <w:marTop w:val="200"/>
          <w:marBottom w:val="0"/>
          <w:divBdr>
            <w:top w:val="none" w:sz="0" w:space="0" w:color="auto"/>
            <w:left w:val="none" w:sz="0" w:space="0" w:color="auto"/>
            <w:bottom w:val="none" w:sz="0" w:space="0" w:color="auto"/>
            <w:right w:val="none" w:sz="0" w:space="0" w:color="auto"/>
          </w:divBdr>
        </w:div>
        <w:div w:id="794983138">
          <w:marLeft w:val="1080"/>
          <w:marRight w:val="0"/>
          <w:marTop w:val="100"/>
          <w:marBottom w:val="0"/>
          <w:divBdr>
            <w:top w:val="none" w:sz="0" w:space="0" w:color="auto"/>
            <w:left w:val="none" w:sz="0" w:space="0" w:color="auto"/>
            <w:bottom w:val="none" w:sz="0" w:space="0" w:color="auto"/>
            <w:right w:val="none" w:sz="0" w:space="0" w:color="auto"/>
          </w:divBdr>
        </w:div>
        <w:div w:id="872888168">
          <w:marLeft w:val="1800"/>
          <w:marRight w:val="0"/>
          <w:marTop w:val="100"/>
          <w:marBottom w:val="0"/>
          <w:divBdr>
            <w:top w:val="none" w:sz="0" w:space="0" w:color="auto"/>
            <w:left w:val="none" w:sz="0" w:space="0" w:color="auto"/>
            <w:bottom w:val="none" w:sz="0" w:space="0" w:color="auto"/>
            <w:right w:val="none" w:sz="0" w:space="0" w:color="auto"/>
          </w:divBdr>
        </w:div>
        <w:div w:id="1092168692">
          <w:marLeft w:val="1800"/>
          <w:marRight w:val="0"/>
          <w:marTop w:val="100"/>
          <w:marBottom w:val="0"/>
          <w:divBdr>
            <w:top w:val="none" w:sz="0" w:space="0" w:color="auto"/>
            <w:left w:val="none" w:sz="0" w:space="0" w:color="auto"/>
            <w:bottom w:val="none" w:sz="0" w:space="0" w:color="auto"/>
            <w:right w:val="none" w:sz="0" w:space="0" w:color="auto"/>
          </w:divBdr>
        </w:div>
        <w:div w:id="1307323433">
          <w:marLeft w:val="1080"/>
          <w:marRight w:val="0"/>
          <w:marTop w:val="100"/>
          <w:marBottom w:val="0"/>
          <w:divBdr>
            <w:top w:val="none" w:sz="0" w:space="0" w:color="auto"/>
            <w:left w:val="none" w:sz="0" w:space="0" w:color="auto"/>
            <w:bottom w:val="none" w:sz="0" w:space="0" w:color="auto"/>
            <w:right w:val="none" w:sz="0" w:space="0" w:color="auto"/>
          </w:divBdr>
        </w:div>
        <w:div w:id="1988850482">
          <w:marLeft w:val="1800"/>
          <w:marRight w:val="0"/>
          <w:marTop w:val="100"/>
          <w:marBottom w:val="0"/>
          <w:divBdr>
            <w:top w:val="none" w:sz="0" w:space="0" w:color="auto"/>
            <w:left w:val="none" w:sz="0" w:space="0" w:color="auto"/>
            <w:bottom w:val="none" w:sz="0" w:space="0" w:color="auto"/>
            <w:right w:val="none" w:sz="0" w:space="0" w:color="auto"/>
          </w:divBdr>
        </w:div>
      </w:divsChild>
    </w:div>
    <w:div w:id="2053920213">
      <w:bodyDiv w:val="1"/>
      <w:marLeft w:val="0"/>
      <w:marRight w:val="0"/>
      <w:marTop w:val="0"/>
      <w:marBottom w:val="0"/>
      <w:divBdr>
        <w:top w:val="none" w:sz="0" w:space="0" w:color="auto"/>
        <w:left w:val="none" w:sz="0" w:space="0" w:color="auto"/>
        <w:bottom w:val="none" w:sz="0" w:space="0" w:color="auto"/>
        <w:right w:val="none" w:sz="0" w:space="0" w:color="auto"/>
      </w:divBdr>
      <w:divsChild>
        <w:div w:id="1122965327">
          <w:marLeft w:val="547"/>
          <w:marRight w:val="0"/>
          <w:marTop w:val="154"/>
          <w:marBottom w:val="0"/>
          <w:divBdr>
            <w:top w:val="none" w:sz="0" w:space="0" w:color="auto"/>
            <w:left w:val="none" w:sz="0" w:space="0" w:color="auto"/>
            <w:bottom w:val="none" w:sz="0" w:space="0" w:color="auto"/>
            <w:right w:val="none" w:sz="0" w:space="0" w:color="auto"/>
          </w:divBdr>
        </w:div>
        <w:div w:id="3519574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582</TotalTime>
  <Pages>4</Pages>
  <Words>1217</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10</cp:revision>
  <dcterms:created xsi:type="dcterms:W3CDTF">2021-08-05T22:37:00Z</dcterms:created>
  <dcterms:modified xsi:type="dcterms:W3CDTF">2021-08-06T20:57:00Z</dcterms:modified>
</cp:coreProperties>
</file>